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EDFA2">
      <w:pPr>
        <w:spacing w:after="48"/>
        <w:jc w:val="center"/>
        <w:rPr>
          <w:rFonts w:hint="eastAsia" w:ascii="宋体" w:hAnsi="宋体" w:eastAsia="宋体" w:cs="宋体"/>
          <w:b/>
          <w:bCs/>
          <w:sz w:val="48"/>
          <w:szCs w:val="48"/>
        </w:rPr>
      </w:pPr>
      <w:r>
        <w:rPr>
          <w:rFonts w:hint="eastAsia" w:ascii="宋体" w:hAnsi="宋体" w:eastAsia="宋体" w:cs="宋体"/>
          <w:b/>
          <w:bCs/>
          <w:sz w:val="48"/>
          <w:szCs w:val="48"/>
        </w:rPr>
        <w:t>中山大学附属第三医院信息化运维服务项目用户需求书</w:t>
      </w:r>
    </w:p>
    <w:p w14:paraId="05560174">
      <w:pPr>
        <w:pStyle w:val="2"/>
        <w:spacing w:before="120" w:after="48"/>
        <w:rPr>
          <w:rFonts w:hint="eastAsia"/>
        </w:rPr>
      </w:pPr>
      <w:r>
        <w:rPr>
          <w:rFonts w:hint="eastAsia"/>
        </w:rPr>
        <w:t>项目概况</w:t>
      </w:r>
    </w:p>
    <w:p w14:paraId="4F826A13">
      <w:pPr>
        <w:pStyle w:val="3"/>
        <w:spacing w:before="120" w:after="48"/>
        <w:rPr>
          <w:rFonts w:hint="eastAsia"/>
        </w:rPr>
      </w:pPr>
      <w:r>
        <w:rPr>
          <w:rFonts w:hint="eastAsia"/>
        </w:rPr>
        <w:t>项目建设背景</w:t>
      </w:r>
    </w:p>
    <w:p w14:paraId="592C37D0">
      <w:pPr>
        <w:pStyle w:val="7"/>
        <w:spacing w:before="26" w:after="48" w:line="364" w:lineRule="auto"/>
        <w:ind w:right="384"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医院信息化的快速发展：随着医院信息化的深入发展，医院内部的信息点数量大幅增加，移动终端与教学、管理、行政办公、患者服务的结合日益紧密。同时，医院的数字化程度也在不断提升，对有线及无线网络设施的要求及依赖越来越高，项目实施可满足日益增长的移动医护工作、数据传输、患者服务及智能化管理等需求，实现医护人员移动诊疗、移动查房及患者定位等服务场景，提升诊疗效率与服务质量。同时结合蓝牙信标，为患者提供相关的定位及科室指引服务，直接提高患者就医体验。为适应医院长期发展规划，需构建灵活可扩展的网络架构，支持未来新技术和业务的无缝集成。</w:t>
      </w:r>
    </w:p>
    <w:p w14:paraId="10660965">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适应智慧医院建设趋势：智慧医院建设是未来医院发展的方向，需要强大的无线网络作为支撑，为医院提供更稳定、更高速、更安全的无线网络环境，支持智慧医院相关应用的部署和运行，如远程医疗、智能诊疗、医院信息管理系统等，提升医院的信息化水平和竞争力，现有网络已无法满足全场景覆盖需求，主要存在以下问题：一是部分区域（如门诊楼、医技科室、地下区域等）存在信号盲区或弱覆盖，导致移动医疗终端频繁断联；二是现有网络并发承载能力不足，难以支撑大量医护终端、患者设备及物联网医疗设备的同时接入；三是网络架构存在优化空间，内外网隔离、医疗设备专用网络保障等安全防护体系需进一步完善；四是现有部分单频AP设备性能有限，存在信道干扰、传输速率低等问题，影响临床业务效率。</w:t>
      </w:r>
    </w:p>
    <w:p w14:paraId="35833192">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对医院网络设备及系统进行年度维护保养，确保网络稳定运行，保障医院计算机网络高效、平稳运转，满足全院工作人员日常网络需求。通过优化网络资源分配，优先保障关键业务数据流畅传输，并对终端及外设故障实行统一管理、智能分发，确保专业人员高效处理对应事件。所有突发事件均实现全流程可控、可跟踪、实时反馈，用户可随时查询处理进度，杜绝服务请求无人响应或延迟响应的情况，从而提升运维效率、用户满意度及业务系统使用体验。</w:t>
      </w:r>
    </w:p>
    <w:p w14:paraId="05118BA1">
      <w:pPr>
        <w:spacing w:after="48"/>
        <w:rPr>
          <w:rFonts w:hint="eastAsia" w:ascii="宋体" w:hAnsi="宋体" w:eastAsia="宋体" w:cs="宋体"/>
        </w:rPr>
      </w:pPr>
    </w:p>
    <w:p w14:paraId="0D264DF2">
      <w:pPr>
        <w:spacing w:after="48"/>
        <w:rPr>
          <w:rFonts w:hint="eastAsia" w:ascii="宋体" w:hAnsi="宋体" w:eastAsia="宋体" w:cs="宋体"/>
        </w:rPr>
      </w:pPr>
    </w:p>
    <w:p w14:paraId="11890812">
      <w:pPr>
        <w:pStyle w:val="3"/>
        <w:spacing w:before="120" w:after="48"/>
        <w:rPr>
          <w:rFonts w:hint="eastAsia"/>
        </w:rPr>
      </w:pPr>
      <w:r>
        <w:rPr>
          <w:rFonts w:hint="eastAsia"/>
        </w:rPr>
        <w:t>总体建设目标</w:t>
      </w:r>
    </w:p>
    <w:p w14:paraId="51075522">
      <w:pPr>
        <w:pStyle w:val="4"/>
        <w:spacing w:before="120" w:after="48"/>
        <w:rPr>
          <w:rFonts w:hint="eastAsia"/>
        </w:rPr>
      </w:pPr>
      <w:r>
        <w:rPr>
          <w:rFonts w:hint="eastAsia"/>
        </w:rPr>
        <w:t>网络一体化智慧运维建设</w:t>
      </w:r>
    </w:p>
    <w:p w14:paraId="2159D4D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构建一网统管、智能自治、主动预防、闭环处置的网络一体化智慧运维体系，实现从被动响应到主动预判、从分散管理到统一管控、从人工操作到自动化执行的转型，全面支撑数字化业务稳定运行。</w:t>
      </w:r>
    </w:p>
    <w:p w14:paraId="0E470DA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监控全覆盖：构建 “物理环境 - 网络设备 - 服务器 - 应用系统 - 医疗终端 - 用户体验” 六级全栈监控体系，实现无死角、无盲区的实时监测；</w:t>
      </w:r>
    </w:p>
    <w:p w14:paraId="56E2A4F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运维智能化：通过大数据分析与机器学习技术，实现故障智能预警、根因自动定位、处置方案推荐，将故障平均修复时间（MTTR）从当前的 60 分钟压缩至 15 分钟以内；</w:t>
      </w:r>
    </w:p>
    <w:p w14:paraId="4FDE880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管理一体化：整合资产、工单、日志、报表等核心运维模块，实现 “数据互通、流程联动、管理闭环”，降低跨系统操作成本；</w:t>
      </w:r>
    </w:p>
    <w:p w14:paraId="2714F2D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操作自动化：实现 80% 以上的重复性运维工作自动化执行，减少人工操作失误，提升运维响应效率；</w:t>
      </w:r>
    </w:p>
    <w:p w14:paraId="69B4354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合规强保障：满足医疗行业数据安全、网络安全相关法规要求，实现运维操作全程可审计、可追溯，符合等保 2.0 三级标准；</w:t>
      </w:r>
    </w:p>
    <w:p w14:paraId="416DFB6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扩展高灵活：平台架构支持弹性扩容，可适配未来 3-5 年医院网络规模扩张（设备数量增长 50%、终端用户增长 80%）与业务场景拓展需求。</w:t>
      </w:r>
    </w:p>
    <w:p w14:paraId="33537BBC">
      <w:pPr>
        <w:pStyle w:val="4"/>
        <w:spacing w:before="120" w:after="48"/>
        <w:rPr>
          <w:rFonts w:hint="eastAsia"/>
        </w:rPr>
      </w:pPr>
      <w:r>
        <w:rPr>
          <w:rFonts w:hint="eastAsia"/>
        </w:rPr>
        <w:t>无线网络升级改造</w:t>
      </w:r>
    </w:p>
    <w:p w14:paraId="24BEADC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升网络性能与稳定性：随着医疗信息化的深入，高清影像传输、电子病历系统、远程医疗等应用对网络带宽和稳定性要求极高。改造项目旨在通过升级核心网络设备、优化网络架构、引入万兆网络技术等措施，确保数据传输的高速、低延迟，减少网络拥堵和故障率，建设一张全覆盖、零漫游、高速率、可扩展的无线网络。使患者、医护人员能够随时随地、方便高效地使用无线网络开展移动医疗业务，从而构建一个真正可用的、无中断的无线网络，进一步促进我院移动医疗业务全面开展，提高工作效率。</w:t>
      </w:r>
    </w:p>
    <w:p w14:paraId="421E1E1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优化资源配置与管理：通过引入软件定义网络</w:t>
      </w:r>
      <w:r>
        <w:rPr>
          <w:rFonts w:asciiTheme="majorEastAsia" w:hAnsiTheme="majorEastAsia" w:eastAsiaTheme="majorEastAsia"/>
          <w:color w:val="000000" w:themeColor="text1"/>
          <w:sz w:val="24"/>
          <w14:textFill>
            <w14:solidFill>
              <w14:schemeClr w14:val="tx1"/>
            </w14:solidFill>
          </w14:textFill>
        </w:rPr>
        <w:t>(SDN)</w:t>
      </w:r>
      <w:r>
        <w:rPr>
          <w:rFonts w:hint="eastAsia" w:asciiTheme="majorEastAsia" w:hAnsiTheme="majorEastAsia" w:eastAsiaTheme="majorEastAsia"/>
          <w:color w:val="000000" w:themeColor="text1"/>
          <w:sz w:val="24"/>
          <w14:textFill>
            <w14:solidFill>
              <w14:schemeClr w14:val="tx1"/>
            </w14:solidFill>
          </w14:textFill>
        </w:rPr>
        <w:t>、网络虚拟化技术，提高资源利用率，实现网络资源的灵活分配和自动化管理，简化运维流程，降低成本，提升响应速度和业务连续性。</w:t>
      </w:r>
    </w:p>
    <w:p w14:paraId="1874131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支持新兴技术应用：为人工智能</w:t>
      </w:r>
      <w:r>
        <w:rPr>
          <w:rFonts w:asciiTheme="majorEastAsia" w:hAnsiTheme="majorEastAsia" w:eastAsiaTheme="majorEastAsia"/>
          <w:color w:val="000000" w:themeColor="text1"/>
          <w:sz w:val="24"/>
          <w14:textFill>
            <w14:solidFill>
              <w14:schemeClr w14:val="tx1"/>
            </w14:solidFill>
          </w14:textFill>
        </w:rPr>
        <w:t>(AI)</w:t>
      </w:r>
      <w:r>
        <w:rPr>
          <w:rFonts w:hint="eastAsia" w:asciiTheme="majorEastAsia" w:hAnsiTheme="majorEastAsia" w:eastAsiaTheme="majorEastAsia"/>
          <w:color w:val="000000" w:themeColor="text1"/>
          <w:sz w:val="24"/>
          <w14:textFill>
            <w14:solidFill>
              <w14:schemeClr w14:val="tx1"/>
            </w14:solidFill>
          </w14:textFill>
        </w:rPr>
        <w:t>、物联网</w:t>
      </w:r>
      <w:r>
        <w:rPr>
          <w:rFonts w:asciiTheme="majorEastAsia" w:hAnsiTheme="majorEastAsia" w:eastAsiaTheme="majorEastAsia"/>
          <w:color w:val="000000" w:themeColor="text1"/>
          <w:sz w:val="24"/>
          <w14:textFill>
            <w14:solidFill>
              <w14:schemeClr w14:val="tx1"/>
            </w14:solidFill>
          </w14:textFill>
        </w:rPr>
        <w:t>(IoT)</w:t>
      </w:r>
      <w:r>
        <w:rPr>
          <w:rFonts w:hint="eastAsia" w:asciiTheme="majorEastAsia" w:hAnsiTheme="majorEastAsia" w:eastAsiaTheme="majorEastAsia"/>
          <w:color w:val="000000" w:themeColor="text1"/>
          <w:sz w:val="24"/>
          <w14:textFill>
            <w14:solidFill>
              <w14:schemeClr w14:val="tx1"/>
            </w14:solidFill>
          </w14:textFill>
        </w:rPr>
        <w:t>、</w:t>
      </w:r>
      <w:r>
        <w:rPr>
          <w:rFonts w:asciiTheme="majorEastAsia" w:hAnsiTheme="majorEastAsia" w:eastAsiaTheme="majorEastAsia"/>
          <w:color w:val="000000" w:themeColor="text1"/>
          <w:sz w:val="24"/>
          <w14:textFill>
            <w14:solidFill>
              <w14:schemeClr w14:val="tx1"/>
            </w14:solidFill>
          </w14:textFill>
        </w:rPr>
        <w:t>5G</w:t>
      </w:r>
      <w:r>
        <w:rPr>
          <w:rFonts w:hint="eastAsia" w:asciiTheme="majorEastAsia" w:hAnsiTheme="majorEastAsia" w:eastAsiaTheme="majorEastAsia"/>
          <w:color w:val="000000" w:themeColor="text1"/>
          <w:sz w:val="24"/>
          <w14:textFill>
            <w14:solidFill>
              <w14:schemeClr w14:val="tx1"/>
            </w14:solidFill>
          </w14:textFill>
        </w:rPr>
        <w:t>、远程医疗等新兴技术的应用提供必要的网络基础设施，促进医院智能化转型，提升诊断和治疗水平，增强患者体验。</w:t>
      </w:r>
    </w:p>
    <w:p w14:paraId="380C696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满足业务扩展需求：随着医院规模的扩大和服务内容的丰富，原有的网络架构可能难以支撑。改造项目需前瞻规划，确保网络架构的可扩展性，为未来新增科室、服务、设备接入留有足够的带宽和接口资源。</w:t>
      </w:r>
    </w:p>
    <w:p w14:paraId="4F34D31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提升医疗服务效率：通过优化网络布局和增强无线网络覆盖，确保医护人员能够随时随地访问关键医疗信息，提高工作效率，加快医嘱执行、检查结果查看等流程，缩短患者等待时间。</w:t>
      </w:r>
    </w:p>
    <w:p w14:paraId="3893BD9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提高网络性能：通过改造项目，提升医院有线网络的整体性能，优化网络带宽和速度，保障医院内部系统的正常运行。</w:t>
      </w:r>
    </w:p>
    <w:p w14:paraId="16DC998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加强网络安全：加强网络安全防护，确保医院内部敏感信息的安全性，防止数据泄露和网络攻击。</w:t>
      </w:r>
    </w:p>
    <w:p w14:paraId="27FAA3D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提升服务水平：通过改善网络状况，提升医疗服务水平，为患者提供更好的就诊体验。</w:t>
      </w:r>
    </w:p>
    <w:p w14:paraId="556B3F3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提高管理效率：提升医院信息化管理水平，加强医院对信息数据的管理和应用，提高管理效率。</w:t>
      </w:r>
    </w:p>
    <w:p w14:paraId="0E66482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提升服务效率：更快的数据传输和响应时间，优化患者就医流程，提高医护人员工作效率。</w:t>
      </w:r>
    </w:p>
    <w:p w14:paraId="04EBBC9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节省运维成本：现代化网络减少故障率，易于管理和维护，同时节约成本。</w:t>
      </w:r>
    </w:p>
    <w:p w14:paraId="62AEC95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升患者满意度：高效优质的服务和就医体验，增强医院竞争力和形象。通过优化网络资源分配，优先保障关键业务数据流畅传输，并对终端及外设故障实行统一管理、智能分发，确保专业人员高效处理对应事件。</w:t>
      </w:r>
    </w:p>
    <w:p w14:paraId="666E07CF">
      <w:pPr>
        <w:pStyle w:val="4"/>
        <w:spacing w:before="120" w:after="48"/>
        <w:rPr>
          <w:rFonts w:hint="eastAsia"/>
        </w:rPr>
      </w:pPr>
      <w:r>
        <w:rPr>
          <w:rFonts w:hint="eastAsia"/>
        </w:rPr>
        <w:t>信息化运维服务</w:t>
      </w:r>
    </w:p>
    <w:p w14:paraId="262E72C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以保障业务连续、提升服务质量、降低运维成本、强化安全合规为核心，构建标准化、集约化的信息化运维服务体系，实现从 “被动抢修” 向 “主动预防”、从 “分散管理” 向 “统一服务” 转型，为全院信息系统安全、稳定、高效运行提供持续可靠支撑。</w:t>
      </w:r>
    </w:p>
    <w:p w14:paraId="5EF7242C">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稳定性保障：确保</w:t>
      </w:r>
      <w:r>
        <w:rPr>
          <w:rFonts w:hint="eastAsia" w:ascii="宋体" w:hAnsi="宋体" w:eastAsia="宋体" w:cs="宋体"/>
          <w:sz w:val="24"/>
        </w:rPr>
        <w:t>院内机房</w:t>
      </w:r>
      <w:r>
        <w:rPr>
          <w:rFonts w:ascii="宋体" w:hAnsi="宋体" w:eastAsia="宋体" w:cs="宋体"/>
          <w:sz w:val="24"/>
        </w:rPr>
        <w:t>服务器存储设备全年无重大故障停机</w:t>
      </w:r>
      <w:r>
        <w:rPr>
          <w:rFonts w:hint="eastAsia" w:cs="宋体"/>
          <w:sz w:val="24"/>
        </w:rPr>
        <w:t>。</w:t>
      </w:r>
    </w:p>
    <w:p w14:paraId="4A3395EF">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数据安全性保障：防范数据丢失、泄露、篡改，确保医疗数据（患者信息、诊疗记录等）的完整性、保密性和可用性，符合《医疗纠纷预防和处理条例》《网络安全法》等相关法律法规要求。</w:t>
      </w:r>
    </w:p>
    <w:p w14:paraId="380BC585">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性能优化保障：定期对</w:t>
      </w:r>
      <w:r>
        <w:rPr>
          <w:rFonts w:hint="eastAsia" w:ascii="宋体" w:hAnsi="宋体" w:eastAsia="宋体" w:cs="宋体"/>
          <w:sz w:val="24"/>
        </w:rPr>
        <w:t>院内机房</w:t>
      </w:r>
      <w:r>
        <w:rPr>
          <w:rFonts w:ascii="宋体" w:hAnsi="宋体" w:eastAsia="宋体" w:cs="宋体"/>
          <w:sz w:val="24"/>
        </w:rPr>
        <w:t>服务器存储设备进行性能监测与优化，确保设备资源利用率合理（CPU利用率峰值不超过85%，内存利用率峰值不超过80%，存储使用率不超过80%），支撑核心业务系统高效响应。</w:t>
      </w:r>
    </w:p>
    <w:p w14:paraId="36A55509">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合规性保障：运维服务全过程符合医院信息安全管理规范及医疗行业相关合规要求，留存完整的运维记录，确保可追溯。</w:t>
      </w:r>
    </w:p>
    <w:p w14:paraId="7FBC0C5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p>
    <w:p w14:paraId="6C31554B">
      <w:pPr>
        <w:pStyle w:val="2"/>
        <w:spacing w:before="120" w:after="48"/>
        <w:rPr>
          <w:rFonts w:hint="eastAsia"/>
        </w:rPr>
      </w:pPr>
      <w:r>
        <w:rPr>
          <w:rFonts w:hint="eastAsia"/>
        </w:rPr>
        <w:t>项目建设需求</w:t>
      </w:r>
    </w:p>
    <w:p w14:paraId="3BA1FE61">
      <w:pPr>
        <w:pStyle w:val="3"/>
        <w:spacing w:before="120" w:after="48"/>
        <w:rPr>
          <w:rFonts w:hint="eastAsia"/>
        </w:rPr>
      </w:pPr>
      <w:r>
        <w:rPr>
          <w:rFonts w:hint="eastAsia"/>
        </w:rPr>
        <w:t>总体建设需求</w:t>
      </w:r>
    </w:p>
    <w:p w14:paraId="5EEE10AF">
      <w:pPr>
        <w:pStyle w:val="4"/>
        <w:bidi w:val="0"/>
        <w:rPr>
          <w:rFonts w:hint="default"/>
          <w:lang w:val="en-US" w:eastAsia="zh-CN"/>
        </w:rPr>
      </w:pPr>
      <w:r>
        <w:rPr>
          <w:rFonts w:hint="eastAsia"/>
          <w:lang w:val="en-US" w:eastAsia="zh-CN"/>
        </w:rPr>
        <w:t>网络一体化智慧运维服务</w:t>
      </w:r>
    </w:p>
    <w:p w14:paraId="7040898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(1) 建设网络一体化智慧运维平台，实现对两院区有线、无线、核心交换机、出口网关、安全设备、服务器及虚拟化资源的统一集中监控、统一告警、统一管理；</w:t>
      </w:r>
    </w:p>
    <w:p w14:paraId="23A65B4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(2) 支持全网拓扑自动发现、物理 / 逻辑拓扑可视化，实时展示设备状态、端口流量、链路利用率、设备健康度，实现网络架构一目了然；</w:t>
      </w:r>
    </w:p>
    <w:p w14:paraId="3C17786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(3) 实现智能告警与故障闭环管理：支持告警分级、告警降噪、根因分析、影响范围判断，自动生成工单并跟踪处理过程，形成告警 — 诊断 — 派单 — 处理 — 复盘的全流程闭环；</w:t>
      </w:r>
    </w:p>
    <w:p w14:paraId="5973AC9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(4) 提供无线网络专项智慧运维能力：包括无线信号质量分析、终端接入体验监测、漫游轨迹分析、信道干扰优化、AP 负载均衡、空口性能诊断，保障移动医疗业务不中断、不卡顿；</w:t>
      </w:r>
    </w:p>
    <w:p w14:paraId="078B6DA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(5) 支持业务性能监控：针对 HIS、LIS、PACS、电子病历、集成平台等核心医疗业务系统，实现端到端网络时延、丢包、吞吐量、访问成功率的实时监测与预警；</w:t>
      </w:r>
    </w:p>
    <w:p w14:paraId="5761494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(6) 具备自动化运维能力：支持配置自动备份、批量配置下发、标准化巡检自动化、异常自动恢复，减少人工操作，提高运维效率与规范性；</w:t>
      </w:r>
    </w:p>
    <w:p w14:paraId="21926B5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(7) 提供多维度运维报表：包括设备可用性、网络流量趋势、故障统计、SLA 达成率、资源利用率、用户接入分析等，为医院信息化规划、扩容改造提供数据支撑；</w:t>
      </w:r>
    </w:p>
    <w:p w14:paraId="05D148D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(8) 满足等保 2.0、电子病历、互联互通对网络运维、日志审计、操作留痕、权限管理的相关要求，保障运维过程安全、可追溯、可审计；</w:t>
      </w:r>
    </w:p>
    <w:p w14:paraId="490BD1E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(9) 运维平台具备良好兼容性与扩展性，支持后续接入机房动环、安防、物联网设备、业务系统监控，逐步建成全院统一的智慧运维中枢。</w:t>
      </w:r>
    </w:p>
    <w:p w14:paraId="7E13267B">
      <w:pPr>
        <w:pStyle w:val="4"/>
        <w:bidi w:val="0"/>
        <w:rPr>
          <w:rFonts w:hint="eastAsia"/>
          <w:lang w:val="en-US" w:eastAsia="zh-CN"/>
        </w:rPr>
      </w:pPr>
      <w:r>
        <w:rPr>
          <w:rFonts w:hint="eastAsia"/>
          <w:lang w:val="en-US" w:eastAsia="zh-CN"/>
        </w:rPr>
        <w:t>无线网络升级改造</w:t>
      </w:r>
    </w:p>
    <w:p w14:paraId="24F6C9E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本次规划对我院天河和岭南两院区现有内网无线网络进行升级扩容建设， 同时对两院区区域无线外网覆盖，达到两院区无死角覆盖无线内外网的效果，内外网流量隔离，采用新一代WiFi（不能低于WIFI 7）设备，实现天河院区以及岭南院区无线网络无缝全覆盖，满足医院员工日常医疗移动业务使用、移动查房、无线输液、OA、办公和互联网访问等需求，满足患者移动支付、自助挂号、结果查询、访问互联网等需求，支持未来对物联网扩展功能。同时要能够有效改善无线网络信号差、漫游效果差、干扰严重等问题，具备更高的接入带宽能力，为我院实现智慧医院建设提供基础架构支撑。</w:t>
      </w:r>
    </w:p>
    <w:p w14:paraId="70D88D2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通过本次项目建立一个设计规范、功能完备、技术创新、性能优良、安全可靠、有良好的扩展性与可用性并且具备可管理易维护的内外网无线网络，以高效率，高速度，高稳定、低成本的方式提高医院工作效率与服务水平。具体需要达到的目标如下：</w:t>
      </w:r>
    </w:p>
    <w:p w14:paraId="73CCAFF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(1)本次内外网无线覆盖包含天河院区和岭南院区，具体覆盖楼层以及区域参考附表，天线单元有效覆盖不应少于区域附表房间数量，候诊区域及医疗通道强信号覆盖；</w:t>
      </w:r>
    </w:p>
    <w:p w14:paraId="798FB43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(2)签订合同后须在6个月内完成施工；</w:t>
      </w:r>
    </w:p>
    <w:p w14:paraId="5EA101F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办公、医疗、病人检查治疗候诊区域无缝覆盖，高可靠、高稳定：特别对于影像科、放疗科、骨科、呼吸科等科室医生在查房的时候，需要在移动端查看病人的CT、MR等大容量的影像图片，缩短医生的打开等待时间，使医生的使用体验更加流畅；</w:t>
      </w:r>
    </w:p>
    <w:p w14:paraId="63099A6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医疗用无线设备覆盖需满足“零漫游”要求：PDA、移动心电监护、查房车实时性要求高，要求网络能做到无缝漫游，让终端在每一个病房走动保持业务不中断，要求各种移动设备在同一楼层内所能到达的地方都要保持良好的信号，不能产生数据丢包，不能使用业务连接中断；</w:t>
      </w:r>
    </w:p>
    <w:p w14:paraId="06AB50A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无线网络需支持物联网扩展能力以满足未来物联网扩展要求:无线网络应具备平滑扩展医疗物联网业务的能力，可通过数据透传、链式扩展、紧耦合板载等方式进行扩展，为我院未来智慧医院建设提供足够的空间，例如重症设备、手术麻醉泵定位、大型设备定位、病患定位、母婴监护、资产管理、医疗废弃物监测、楼宇智能化等。</w:t>
      </w:r>
    </w:p>
    <w:p w14:paraId="7BB8895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 xml:space="preserve">(6) 建立多层次、全方位的网络安全防护体系，实现内外网、医疗业务网与物联网的有效隔离； </w:t>
      </w:r>
    </w:p>
    <w:p w14:paraId="4889458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(7) 实现无线网络全生命周期的可视化运维、精准故障定位与性能主动优化；通过对医疗核心业务的网络体验监测，保障业务连续性与稳定性；同时提升网络运维的智能化水平，降低人工运维成本，支撑智慧医疗业务的高效开展。</w:t>
      </w:r>
    </w:p>
    <w:p w14:paraId="6B24AB0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(8)与医疗设备互不干扰;</w:t>
      </w:r>
    </w:p>
    <w:p w14:paraId="0E9D5F1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(9)由于临建、科室装修、搬迁、场所功能改变等一系列不确定性因素，预留5%的冗余(包含设备、材料和实施费用)用于确保后续无线能够快速精准覆盖， 满足业务需求；</w:t>
      </w:r>
    </w:p>
    <w:p w14:paraId="3AB7C90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(10)满足医院等级保护、电子病历和互联互通评级等对无线网络的技术要求；</w:t>
      </w:r>
    </w:p>
    <w:p w14:paraId="10C4255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(11)包含旧无线设备拆除、利旧设备安装，弱电间线路整理；</w:t>
      </w:r>
    </w:p>
    <w:p w14:paraId="6154439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(12)整体验收后包含三年免费维保服务期.含软硬件设备维修、故障处理、设备日常维护、技术培训、定时巡检。</w:t>
      </w:r>
    </w:p>
    <w:p w14:paraId="46B97301">
      <w:pPr>
        <w:pStyle w:val="4"/>
        <w:bidi w:val="0"/>
        <w:rPr>
          <w:rFonts w:hint="default"/>
          <w:lang w:val="en-US" w:eastAsia="zh-CN"/>
        </w:rPr>
      </w:pPr>
      <w:r>
        <w:rPr>
          <w:rFonts w:hint="eastAsia"/>
          <w:lang w:val="en-US" w:eastAsia="zh-CN"/>
        </w:rPr>
        <w:t>本地机房信息项目运维服务</w:t>
      </w:r>
    </w:p>
    <w:p w14:paraId="42E28D7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1、本地机房服务器运维服务</w:t>
      </w:r>
    </w:p>
    <w:p w14:paraId="6A7853F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提供</w:t>
      </w:r>
      <w:r>
        <w:rPr>
          <w:rFonts w:hint="eastAsia" w:asciiTheme="majorEastAsia" w:hAnsiTheme="majorEastAsia" w:eastAsiaTheme="majorEastAsia"/>
          <w:color w:val="000000" w:themeColor="text1"/>
          <w:sz w:val="24"/>
          <w:lang w:val="en-US" w:eastAsia="zh-CN"/>
          <w14:textFill>
            <w14:solidFill>
              <w14:schemeClr w14:val="tx1"/>
            </w14:solidFill>
          </w14:textFill>
        </w:rPr>
        <w:t>本地</w:t>
      </w:r>
      <w:r>
        <w:rPr>
          <w:rFonts w:hint="eastAsia" w:asciiTheme="majorEastAsia" w:hAnsiTheme="majorEastAsia" w:eastAsiaTheme="majorEastAsia"/>
          <w:color w:val="000000" w:themeColor="text1"/>
          <w:sz w:val="24"/>
          <w14:textFill>
            <w14:solidFill>
              <w14:schemeClr w14:val="tx1"/>
            </w14:solidFill>
          </w14:textFill>
        </w:rPr>
        <w:t>机房</w:t>
      </w:r>
      <w:r>
        <w:rPr>
          <w:rFonts w:hint="eastAsia" w:asciiTheme="majorEastAsia" w:hAnsiTheme="majorEastAsia" w:eastAsiaTheme="majorEastAsia"/>
          <w:color w:val="000000" w:themeColor="text1"/>
          <w:sz w:val="24"/>
          <w:lang w:val="en-US" w:eastAsia="zh-CN"/>
          <w14:textFill>
            <w14:solidFill>
              <w14:schemeClr w14:val="tx1"/>
            </w14:solidFill>
          </w14:textFill>
        </w:rPr>
        <w:t>服务器</w:t>
      </w:r>
      <w:r>
        <w:rPr>
          <w:rFonts w:hint="eastAsia" w:asciiTheme="majorEastAsia" w:hAnsiTheme="majorEastAsia" w:eastAsiaTheme="majorEastAsia"/>
          <w:color w:val="000000" w:themeColor="text1"/>
          <w:sz w:val="24"/>
          <w14:textFill>
            <w14:solidFill>
              <w14:schemeClr w14:val="tx1"/>
            </w14:solidFill>
          </w14:textFill>
        </w:rPr>
        <w:t>资产台账管理、线路整理、标签规范、扩容支撑服务，确保机房环境安全、规范、可控；</w:t>
      </w:r>
    </w:p>
    <w:p w14:paraId="00E431B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配合医院完成</w:t>
      </w:r>
      <w:r>
        <w:rPr>
          <w:rFonts w:hint="eastAsia" w:asciiTheme="majorEastAsia" w:hAnsiTheme="majorEastAsia" w:eastAsiaTheme="majorEastAsia"/>
          <w:color w:val="000000" w:themeColor="text1"/>
          <w:sz w:val="24"/>
          <w:lang w:val="en-US" w:eastAsia="zh-CN"/>
          <w14:textFill>
            <w14:solidFill>
              <w14:schemeClr w14:val="tx1"/>
            </w14:solidFill>
          </w14:textFill>
        </w:rPr>
        <w:t>本地</w:t>
      </w:r>
      <w:r>
        <w:rPr>
          <w:rFonts w:hint="eastAsia" w:asciiTheme="majorEastAsia" w:hAnsiTheme="majorEastAsia" w:eastAsiaTheme="majorEastAsia"/>
          <w:color w:val="000000" w:themeColor="text1"/>
          <w:sz w:val="24"/>
          <w14:textFill>
            <w14:solidFill>
              <w14:schemeClr w14:val="tx1"/>
            </w14:solidFill>
          </w14:textFill>
        </w:rPr>
        <w:t>机房</w:t>
      </w:r>
      <w:r>
        <w:rPr>
          <w:rFonts w:hint="eastAsia" w:asciiTheme="majorEastAsia" w:hAnsiTheme="majorEastAsia" w:eastAsiaTheme="majorEastAsia"/>
          <w:color w:val="000000" w:themeColor="text1"/>
          <w:sz w:val="24"/>
          <w:lang w:val="en-US" w:eastAsia="zh-CN"/>
          <w14:textFill>
            <w14:solidFill>
              <w14:schemeClr w14:val="tx1"/>
            </w14:solidFill>
          </w14:textFill>
        </w:rPr>
        <w:t>服务器的数据库与操作系统的</w:t>
      </w:r>
      <w:r>
        <w:rPr>
          <w:rFonts w:hint="eastAsia" w:asciiTheme="majorEastAsia" w:hAnsiTheme="majorEastAsia" w:eastAsiaTheme="majorEastAsia"/>
          <w:color w:val="000000" w:themeColor="text1"/>
          <w:sz w:val="24"/>
          <w14:textFill>
            <w14:solidFill>
              <w14:schemeClr w14:val="tx1"/>
            </w14:solidFill>
          </w14:textFill>
        </w:rPr>
        <w:t>等级保护、消防检查、节能改造等相关工作。</w:t>
      </w:r>
    </w:p>
    <w:p w14:paraId="78541554">
      <w:pPr>
        <w:spacing w:after="48" w:line="460" w:lineRule="exact"/>
        <w:ind w:firstLine="480" w:firstLineChars="200"/>
        <w:rPr>
          <w:rFonts w:hint="default" w:asciiTheme="majorEastAsia" w:hAnsiTheme="majorEastAsia" w:eastAsiaTheme="majorEastAsia"/>
          <w:color w:val="000000" w:themeColor="text1"/>
          <w:sz w:val="24"/>
          <w:lang w:val="en-US" w:eastAsia="zh-CN"/>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配合完成本地机房服务器利旧与迁移的改造工程。</w:t>
      </w:r>
    </w:p>
    <w:p w14:paraId="698EC48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2、本地机房HIS系统的2026年度（12个月）运维服务</w:t>
      </w:r>
    </w:p>
    <w:p w14:paraId="5E310BC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负责 HIS 系统日常运行监控、故障快速响应与排查，保障门诊、住院、收费、药房、护士站等核心业务不间断运行；</w:t>
      </w:r>
    </w:p>
    <w:p w14:paraId="3378910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提供 HIS 数据库性能监控、表空间管理、日志清理、备份有效性检查，确保数据安全与系统高效运行；</w:t>
      </w:r>
    </w:p>
    <w:p w14:paraId="1348B2D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协助处理 HIS 相关接口、终端、打印机、读卡设备等配套问题，保障临床业务顺畅；</w:t>
      </w:r>
    </w:p>
    <w:p w14:paraId="41107D0A">
      <w:pPr>
        <w:spacing w:after="48" w:line="460" w:lineRule="exact"/>
        <w:ind w:firstLine="480" w:firstLineChars="200"/>
        <w:rPr>
          <w:rFonts w:hint="eastAsia" w:asciiTheme="majorEastAsia" w:hAnsiTheme="majorEastAsia" w:eastAsiaTheme="majorEastAsia"/>
          <w:color w:val="000000" w:themeColor="text1"/>
          <w:sz w:val="24"/>
          <w:lang w:eastAsia="zh-CN"/>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对HIS系统进行版本更新、补丁升级、参数调优、问题复盘，持续提升系统稳定性</w:t>
      </w:r>
      <w:r>
        <w:rPr>
          <w:rFonts w:hint="eastAsia" w:asciiTheme="majorEastAsia" w:hAnsiTheme="majorEastAsia" w:eastAsiaTheme="majorEastAsia"/>
          <w:color w:val="000000" w:themeColor="text1"/>
          <w:sz w:val="24"/>
          <w:lang w:eastAsia="zh-CN"/>
          <w14:textFill>
            <w14:solidFill>
              <w14:schemeClr w14:val="tx1"/>
            </w14:solidFill>
          </w14:textFill>
        </w:rPr>
        <w:t>；</w:t>
      </w:r>
    </w:p>
    <w:p w14:paraId="627B748E">
      <w:pPr>
        <w:spacing w:after="48" w:line="460" w:lineRule="exact"/>
        <w:ind w:firstLine="480" w:firstLineChars="200"/>
        <w:rPr>
          <w:rFonts w:hint="default" w:asciiTheme="majorEastAsia" w:hAnsiTheme="majorEastAsia" w:eastAsiaTheme="majorEastAsia"/>
          <w:color w:val="000000" w:themeColor="text1"/>
          <w:sz w:val="24"/>
          <w:lang w:val="en-US" w:eastAsia="zh-CN"/>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配合完成HIS故障应急演练等日常运维工作。</w:t>
      </w:r>
    </w:p>
    <w:p w14:paraId="22A1282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lang w:val="en-US" w:eastAsia="zh-CN"/>
          <w14:textFill>
            <w14:solidFill>
              <w14:schemeClr w14:val="tx1"/>
            </w14:solidFill>
          </w14:textFill>
        </w:rPr>
        <w:t>3、 本地机房集成平台的2026年度（12个月）运维服务</w:t>
      </w:r>
    </w:p>
    <w:p w14:paraId="66C1275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负责医院集成平台 / ESB / 中间件的运行状态监控、服务链路监测、消息队列监控，确保各系统间数据互通正常；</w:t>
      </w:r>
    </w:p>
    <w:p w14:paraId="526CC53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对集成平台接口进行日志审计、异常重试、阻塞排查、流量监控，保障 HIS、LIS、PACS、体检、病案、医保等系统间数据准确、实时交互；</w:t>
      </w:r>
    </w:p>
    <w:p w14:paraId="70FA787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提供集成平台配置管理、权限管理、服务治理、性能优化，支持新业务系统接入联调；</w:t>
      </w:r>
    </w:p>
    <w:p w14:paraId="7956DEA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建立接口故障快速定位机制，缩短业务中断时间，保障医院整体业务流程闭环。</w:t>
      </w:r>
    </w:p>
    <w:p w14:paraId="6B8E091D">
      <w:pPr>
        <w:pStyle w:val="3"/>
        <w:spacing w:before="120" w:after="48"/>
        <w:rPr>
          <w:rFonts w:hint="eastAsia"/>
        </w:rPr>
      </w:pPr>
      <w:r>
        <w:rPr>
          <w:rFonts w:hint="eastAsia"/>
        </w:rPr>
        <w:t>网络一体化智慧运维服务需求</w:t>
      </w:r>
    </w:p>
    <w:p w14:paraId="4300835D">
      <w:pPr>
        <w:pStyle w:val="4"/>
        <w:spacing w:before="120" w:after="48"/>
        <w:rPr>
          <w:rFonts w:hint="eastAsia"/>
        </w:rPr>
      </w:pPr>
      <w:r>
        <w:rPr>
          <w:rFonts w:hint="eastAsia"/>
        </w:rPr>
        <w:t>需求背景</w:t>
      </w:r>
    </w:p>
    <w:p w14:paraId="05BC5AE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随着医院数字化转型进入深水区，HIS（医院信息系统）、LIS（检验信息系统）、PACS（医学影像存档与通信系统）、手术麻醉系统、电子病历系统、远程会诊平台、移动查房终端等核心业务系统已实现全场景覆盖，门诊挂号、住院结算、药品调剂、检验检查、手术执行、重症监护等关键医疗环节对网络的依赖度达到 “零容忍” 级别。当前医院网络架构呈现 “有线+无线” 深度融合、“内网+外网” 边界复杂、“物理+虚拟” 环境并存的特点。</w:t>
      </w:r>
    </w:p>
    <w:p w14:paraId="25F935A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传统分散式运维模式依赖人工巡检、被动响应，存在三大核心痛点：一是故障发现滞后，医疗场景下网络中断 1 分钟即可导致门诊停诊、手术延误等严重后果，而传统模式平均故障发现时间超 30 分钟；二是监控维度不全，缺乏对医疗专用设备（如超声仪、CT 机、移动护理车）的定制化监控，存在运维盲区；三是数据孤岛严重，网络设备、服务器、业务系统的运维数据分散存储，无法实现全链路问题追溯。为破解上述难题，保障医疗业务 7×24 小时连续稳定运行，提升运维效率与管理精细化水平，亟需建设一套适配医疗行业特性的一体化智能运维平台。</w:t>
      </w:r>
    </w:p>
    <w:p w14:paraId="648B1ACE">
      <w:pPr>
        <w:pStyle w:val="4"/>
        <w:spacing w:before="120" w:after="48"/>
        <w:rPr>
          <w:rFonts w:hint="eastAsia"/>
        </w:rPr>
      </w:pPr>
      <w:r>
        <w:rPr>
          <w:rFonts w:hint="eastAsia"/>
        </w:rPr>
        <w:t>建设目标</w:t>
      </w:r>
    </w:p>
    <w:p w14:paraId="47904F5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监控全覆盖：构建 “物理环境 - 网络设备 - 服务器 - 应用系统 - 医疗终端 - 用户体验” 六级全栈监控体系，实现无死角、无盲区的实时监测；</w:t>
      </w:r>
    </w:p>
    <w:p w14:paraId="063FA14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运维智能化：通过大数据分析与机器学习技术，实现故障智能预警、根因自动定位、处置方案推荐，将故障平均修复时间（MTTR）从当前的 60 分钟压缩至 15 分钟以内；</w:t>
      </w:r>
    </w:p>
    <w:p w14:paraId="521B0C3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管理一体化：整合资产、工单、日志、报表等核心运维模块，实现 “数据互通、流程联动、管理闭环”，降低跨系统操作成本；</w:t>
      </w:r>
    </w:p>
    <w:p w14:paraId="72B16C2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操作自动化：实现 80% 以上的重复性运维工作自动化执行，减少人工操作失误，提升运维响应效率；</w:t>
      </w:r>
    </w:p>
    <w:p w14:paraId="1B8E246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合规强保障：满足医疗行业数据安全、网络安全相关法规要求，实现运维操作全程可审计、可追溯，符合等保 2.0 三级标准；</w:t>
      </w:r>
    </w:p>
    <w:p w14:paraId="3716506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扩展高灵活：平台架构支持弹性扩容，可适配未来 3-5 年医院网络规模扩张（设备数量增长 50%、终端用户增长 80%）与业务场景拓展需求。</w:t>
      </w:r>
    </w:p>
    <w:p w14:paraId="6E17CEAB">
      <w:pPr>
        <w:pStyle w:val="4"/>
        <w:spacing w:before="120" w:after="48"/>
        <w:rPr>
          <w:rFonts w:hint="eastAsia"/>
        </w:rPr>
      </w:pPr>
      <w:r>
        <w:rPr>
          <w:rFonts w:hint="eastAsia"/>
        </w:rPr>
        <w:t>核心功能需求</w:t>
      </w:r>
    </w:p>
    <w:p w14:paraId="22605FFF">
      <w:pPr>
        <w:pStyle w:val="5"/>
        <w:spacing w:before="120" w:after="48"/>
        <w:rPr>
          <w:rFonts w:hint="eastAsia"/>
        </w:rPr>
      </w:pPr>
      <w:r>
        <w:rPr>
          <w:rFonts w:hint="eastAsia"/>
        </w:rPr>
        <w:t>全栈式监控与可视化管理</w:t>
      </w:r>
    </w:p>
    <w:p w14:paraId="664F8670">
      <w:pPr>
        <w:pStyle w:val="6"/>
        <w:numPr>
          <w:ilvl w:val="4"/>
          <w:numId w:val="0"/>
        </w:numPr>
        <w:tabs>
          <w:tab w:val="clear" w:pos="0"/>
        </w:tabs>
        <w:spacing w:before="120" w:after="48"/>
        <w:ind w:firstLine="480" w:firstLineChars="200"/>
      </w:pPr>
      <w:r>
        <w:rPr>
          <w:rFonts w:hint="eastAsia"/>
        </w:rPr>
        <w:t>1、多维度拓扑可视化</w:t>
      </w:r>
    </w:p>
    <w:p w14:paraId="13E5577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支持自动发现与实时更新：基于 LLDP、CDP 等协议自动发现网络设备、服务器、存储、医疗专用终端等 IT 资源，支持自定义发现规则（IP 段、端口范围、协议类型），拓扑图更新延迟不超过 30 秒，设备新增 / 下线后自动同步至拓扑视图，无需人工干预；</w:t>
      </w:r>
    </w:p>
    <w:p w14:paraId="605A70B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拓扑视图分层展示：提供宏观（全院网络架构）、中观（楼宇 / 楼层网络分布）、微观（设备端口级连接）三级拓扑视图，支持自由缩放、平移、全屏展示，点击任意设备节点可弹窗查看设备详情（型号、IP 地址、固件版本、运行时长、负载状态等）；</w:t>
      </w:r>
    </w:p>
    <w:p w14:paraId="08A1E9B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设备面板精细化展示：提供 1:1 还原的设备物理面板图，清晰呈现网口（速率、双工模式、是否启用、连接状态）、光口（光功率、接收灵敏度）、板卡（运行状态、温度）、电源（供电模式、电压、负载）、风扇（转速、运行状态）等硬件组件信息，支持组件状态颜色标识（绿色 = 正常、黄色 = 告警、红色 = 故障、灰色 = 未启用），点击组件可联动查看关联性能指标（如网口流量、光口误码率）；</w:t>
      </w:r>
    </w:p>
    <w:p w14:paraId="468F691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3D 机房仿真可视化：支持导入机房 CAD 图纸或现场扫描建模，生成 1:1 还原的 3D 机房场景，包含机柜布局、设备上架位置、线缆走向、空调出风口、UPS 部署等细节；叠加展示实时数据：设备运行状态（告警 / 正常）、机柜温湿度（精度 ±0.5℃/±5% RH）、漏水检测（定位精度≤1 米）、供电状态（电压、电流、功率），支持鼠标拖拽漫游、视角切换（全局 / 局部 / 机柜内部），实现机房 “无人值守” 智能监控；</w:t>
      </w:r>
    </w:p>
    <w:p w14:paraId="06BF9B3C">
      <w:pPr>
        <w:pStyle w:val="6"/>
        <w:numPr>
          <w:ilvl w:val="4"/>
          <w:numId w:val="0"/>
        </w:numPr>
        <w:tabs>
          <w:tab w:val="clear" w:pos="0"/>
        </w:tabs>
        <w:spacing w:before="120" w:after="48"/>
        <w:ind w:firstLine="480" w:firstLineChars="200"/>
      </w:pPr>
      <w:r>
        <w:rPr>
          <w:rFonts w:hint="eastAsia"/>
        </w:rPr>
        <w:t>2、全指标监控覆盖</w:t>
      </w:r>
    </w:p>
    <w:p w14:paraId="7FB2F448">
      <w:pPr>
        <w:spacing w:after="48" w:line="460" w:lineRule="exact"/>
        <w:ind w:firstLine="482" w:firstLineChars="200"/>
        <w:rPr>
          <w:rFonts w:hint="eastAsia" w:asciiTheme="majorEastAsia" w:hAnsiTheme="majorEastAsia" w:eastAsiaTheme="majorEastAsia"/>
          <w:b/>
          <w:bCs/>
          <w:color w:val="000000" w:themeColor="text1"/>
          <w:sz w:val="24"/>
          <w14:textFill>
            <w14:solidFill>
              <w14:schemeClr w14:val="tx1"/>
            </w14:solidFill>
          </w14:textFill>
        </w:rPr>
      </w:pPr>
      <w:r>
        <w:rPr>
          <w:rFonts w:hint="eastAsia" w:asciiTheme="majorEastAsia" w:hAnsiTheme="majorEastAsia" w:eastAsiaTheme="majorEastAsia"/>
          <w:b/>
          <w:bCs/>
          <w:color w:val="000000" w:themeColor="text1"/>
          <w:sz w:val="24"/>
          <w14:textFill>
            <w14:solidFill>
              <w14:schemeClr w14:val="tx1"/>
            </w14:solidFill>
          </w14:textFill>
        </w:rPr>
        <w:t>1）基础设施层监控（动环监控）：</w:t>
      </w:r>
    </w:p>
    <w:p w14:paraId="0F5263C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供电系统：监控 UPS 输入 / 输出电压（精度 ±0.1V）、电流（精度 ±0.1A）、功率因数（精度 ±0.01）、电池组电压（单节电池电压监测）、充放电状态、剩余容量（SOC）、预计续航时间，支持电池老化趋势分析与更换提醒；</w:t>
      </w:r>
    </w:p>
    <w:p w14:paraId="66CB437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空调系统：监控精密空调回风 / 送风温度（精度 ±0.1℃）、湿度（精度 ±5% RH）、压缩机运行状态、风机转速、滤网压差（堵塞预警）、制冷剂压力，支持空调故障（如压缩机过载、风机故障）自动告警；</w:t>
      </w:r>
    </w:p>
    <w:p w14:paraId="1EE88C4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环境传感器：覆盖温湿度传感器（部署密度≥1 个 / 20㎡）、漏水检测绳（沿机柜列部署，无断点）、烟感传感器、红外人体传感器，支持传感器故障（如离线、数据异常）自动上报；</w:t>
      </w:r>
    </w:p>
    <w:p w14:paraId="5A59EA9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2）网络设备层监控：</w:t>
      </w:r>
    </w:p>
    <w:p w14:paraId="46896D2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有线设备：监控交换机、路由器的 CPU 利用率（阈值可自定义）、内存使用率、磁盘空间、端口流量（入 / 出方向，精度 1Kbps）、带宽利用率、丢包率（精度 0.01%）、时延（精度 1ms）、CRC 错误数、广播风暴阈值；支持 Trunk 端口、聚合端口的成员状态、负载分担情况监控；</w:t>
      </w:r>
    </w:p>
    <w:p w14:paraId="212E851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无线设备：监控 AP 的信号强度（精度 1dBm）、信道利用率、接入终端数、漫游成功率、丢包率、时延，支持 2.4G/5G 双频段独立监控；监控 AC 的 CPU 利用率、内存使用率、终端接入总数、会话数、License 使用状态；</w:t>
      </w:r>
    </w:p>
    <w:p w14:paraId="10B53F4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3）服务器与存储层监控：</w:t>
      </w:r>
    </w:p>
    <w:p w14:paraId="1448E11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服务器：监控 CPU（单核心利用率、负载均衡情况）、内存（使用量、缓存命中率）、磁盘（读写速率、IOPS、使用率、坏道数量）、网卡（流量、丢包率）、操作系统进程（CPU 占用 TOP10、内存占用 TOP10），支持 Windows、Linux、国产操作系统（麒麟、统信）的深度监控；</w:t>
      </w:r>
    </w:p>
    <w:p w14:paraId="4AF094A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存储设备：监控存储阵列的控制器状态、硬盘运行状态（在线 / 离线、坏道）、RAID 组状态、存储池使用率、IOPS、读写带宽、延迟，支持存储容量扩容提醒；</w:t>
      </w:r>
    </w:p>
    <w:p w14:paraId="0A83042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4）应用服务层监控：</w:t>
      </w:r>
    </w:p>
    <w:p w14:paraId="5F4375A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数据库：支持 Oracle、MySQL、SQL Server、达梦等数据库监控，指标包括表空间使用率、数据文件增长率、会话数（活跃会话 / 空闲会话）、死锁数量、慢查询（自定义阈值，如执行时间超 5 秒）、索引命中率、日志文件大小；</w:t>
      </w:r>
    </w:p>
    <w:p w14:paraId="3A0582E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中间件：支持 Tomcat、WebLogic、Nginx、Redis 等中间件监控，指标包括连接池使用率、线程池活跃数 / 最大数、请求响应时间、错误率、日志报错信息；</w:t>
      </w:r>
    </w:p>
    <w:p w14:paraId="007C903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医疗业务系统：针对 HIS、LIS、PACS 等核心系统，监控系统可用性（ uptime）、交易成功率、平均响应时间（精度 1ms）、并发用户数、接口调用成功率（如 HIS 与 LIS 的数据交互接口），支持自定义业务指标（如门诊挂号交易、住院结算交易的单独监控）；</w:t>
      </w:r>
    </w:p>
    <w:p w14:paraId="45B5912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5）医疗终端与用户体验层监控：</w:t>
      </w:r>
    </w:p>
    <w:p w14:paraId="618F6D9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医疗专用终端：监控 CT 机、MRI 机、超声仪等设备的网络连接状态、数据传输速率、接口响应时间，支持设备离线、数据传输中断自动告警；</w:t>
      </w:r>
    </w:p>
    <w:p w14:paraId="566B79D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移动终端：监控移动护理车、平板、笔记本等设备的电池电量、网络接入方式（有线 / 无线）、信号强度、漫游切换次数、应用访问速率（如 PACS 影像加载时间）；</w:t>
      </w:r>
    </w:p>
    <w:p w14:paraId="742F0ED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用户体验评级：基于网络时延（≤50ms 为优、50-100ms 为中、&gt;100ms 为差）、丢包率（≤0.1% 为优、0.1%-1% 为中、&gt;1% 为差）、接入成功率（≥99.9% 为优、99%-99.9% 为中、为差）等指标，自动生成用户体验等级，支持按科室、区域、终端类型统计用户体验分布。</w:t>
      </w:r>
    </w:p>
    <w:p w14:paraId="4C593C1A">
      <w:pPr>
        <w:pStyle w:val="6"/>
        <w:numPr>
          <w:ilvl w:val="4"/>
          <w:numId w:val="0"/>
        </w:numPr>
        <w:tabs>
          <w:tab w:val="clear" w:pos="0"/>
        </w:tabs>
        <w:spacing w:before="120" w:after="48"/>
        <w:ind w:firstLine="480" w:firstLineChars="200"/>
      </w:pPr>
      <w:r>
        <w:rPr>
          <w:rFonts w:hint="eastAsia"/>
        </w:rPr>
        <w:t>3、智能告警管理</w:t>
      </w:r>
    </w:p>
    <w:p w14:paraId="16637DCD">
      <w:pPr>
        <w:spacing w:after="48" w:line="460" w:lineRule="exact"/>
        <w:ind w:firstLine="482"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b/>
          <w:bCs/>
          <w:color w:val="000000" w:themeColor="text1"/>
          <w:sz w:val="24"/>
          <w14:textFill>
            <w14:solidFill>
              <w14:schemeClr w14:val="tx1"/>
            </w14:solidFill>
          </w14:textFill>
        </w:rPr>
        <w:t>告警采集与解析</w:t>
      </w:r>
      <w:r>
        <w:rPr>
          <w:rFonts w:hint="eastAsia" w:asciiTheme="majorEastAsia" w:hAnsiTheme="majorEastAsia" w:eastAsiaTheme="majorEastAsia"/>
          <w:color w:val="000000" w:themeColor="text1"/>
          <w:sz w:val="24"/>
          <w14:textFill>
            <w14:solidFill>
              <w14:schemeClr w14:val="tx1"/>
            </w14:solidFill>
          </w14:textFill>
        </w:rPr>
        <w:t>：支持 SNMP Trap（v1/v2c/v3）、Syslog（RFC3164/RFC5424）、Windows Event Log、API 接口、自定义脚本等多种采集方式，可解析华为、H3C、Cisco 等主流设备的原厂告警码，支持自定义告警解析规则（正则表达式匹配）；</w:t>
      </w:r>
    </w:p>
    <w:p w14:paraId="01DDD879">
      <w:pPr>
        <w:spacing w:after="48" w:line="460" w:lineRule="exact"/>
        <w:ind w:firstLine="482"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b/>
          <w:bCs/>
          <w:color w:val="000000" w:themeColor="text1"/>
          <w:sz w:val="24"/>
          <w14:textFill>
            <w14:solidFill>
              <w14:schemeClr w14:val="tx1"/>
            </w14:solidFill>
          </w14:textFill>
        </w:rPr>
        <w:t>告警信息完整性</w:t>
      </w:r>
      <w:r>
        <w:rPr>
          <w:rFonts w:hint="eastAsia" w:asciiTheme="majorEastAsia" w:hAnsiTheme="majorEastAsia" w:eastAsiaTheme="majorEastAsia"/>
          <w:color w:val="000000" w:themeColor="text1"/>
          <w:sz w:val="24"/>
          <w14:textFill>
            <w14:solidFill>
              <w14:schemeClr w14:val="tx1"/>
            </w14:solidFill>
          </w14:textFill>
        </w:rPr>
        <w:t>：每条告警需包含 12 个核心字段：告警 ID、发生时间（精确到毫秒）、故障设备名称 / IP / 位置、故障组件、告警级别、影响范围（涉及科室、业务系统、终端数量）、故障描述、原始告警码、处理状态、处理人、建议处置方案、关联告警 ID；</w:t>
      </w:r>
    </w:p>
    <w:p w14:paraId="36C659DF">
      <w:pPr>
        <w:spacing w:after="48" w:line="460" w:lineRule="exact"/>
        <w:ind w:firstLine="482"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b/>
          <w:bCs/>
          <w:color w:val="000000" w:themeColor="text1"/>
          <w:sz w:val="24"/>
          <w14:textFill>
            <w14:solidFill>
              <w14:schemeClr w14:val="tx1"/>
            </w14:solidFill>
          </w14:textFill>
        </w:rPr>
        <w:t>智能告警降噪</w:t>
      </w:r>
      <w:r>
        <w:rPr>
          <w:rFonts w:hint="eastAsia" w:asciiTheme="majorEastAsia" w:hAnsiTheme="majorEastAsia" w:eastAsiaTheme="majorEastAsia"/>
          <w:color w:val="000000" w:themeColor="text1"/>
          <w:sz w:val="24"/>
          <w14:textFill>
            <w14:solidFill>
              <w14:schemeClr w14:val="tx1"/>
            </w14:solidFill>
          </w14:textFill>
        </w:rPr>
        <w:t>：具备三重降噪机制：一是重复告警过滤（同一设备同一故障在 3 分钟内重复上报时自动合并，仅更新发生时间）；二是同源告警合并（因同一根因导致的多设备 / 多组件告警自动归类，仅展示根因告警）；三是告警抑制（低级别告警被高级别告警抑制，如设备离线告警触发后，该设备的端口告警自动抑制），最终实现误报率低于 5%、告警压缩率高于 80%；</w:t>
      </w:r>
    </w:p>
    <w:p w14:paraId="72729787">
      <w:pPr>
        <w:spacing w:after="48" w:line="460" w:lineRule="exact"/>
        <w:ind w:firstLine="482"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b/>
          <w:bCs/>
          <w:color w:val="000000" w:themeColor="text1"/>
          <w:sz w:val="24"/>
          <w14:textFill>
            <w14:solidFill>
              <w14:schemeClr w14:val="tx1"/>
            </w14:solidFill>
          </w14:textFill>
        </w:rPr>
        <w:t>告警分级与通知</w:t>
      </w:r>
      <w:r>
        <w:rPr>
          <w:rFonts w:hint="eastAsia" w:asciiTheme="majorEastAsia" w:hAnsiTheme="majorEastAsia" w:eastAsiaTheme="majorEastAsia"/>
          <w:color w:val="000000" w:themeColor="text1"/>
          <w:sz w:val="24"/>
          <w14:textFill>
            <w14:solidFill>
              <w14:schemeClr w14:val="tx1"/>
            </w14:solidFill>
          </w14:textFill>
        </w:rPr>
        <w:t>：</w:t>
      </w:r>
    </w:p>
    <w:p w14:paraId="312C0CE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1）紧急告警（P1）：如核心交换机离线、手术室网络中断、UPS 供电故障等影响医疗业务正常开展的故障，响应时间≤1 分钟，通知方式包括平台弹窗（强制置顶）、短信（运维负责人 + 科室负责人）、电话语音通知、企业微信 / 钉钉群推送；</w:t>
      </w:r>
    </w:p>
    <w:p w14:paraId="01F6F0E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2）重要告警（P2）：如非核心设备故障、网络带宽超阈值、服务器负载过高（未影响业务）等，响应时间≤5 分钟，通知方式包括平台弹窗、短信（运维负责人）、企业微信 / 钉钉推送；</w:t>
      </w:r>
    </w:p>
    <w:p w14:paraId="798392B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3）一般告警（P3）：如单个端口断开、硬盘使用率超 80%、空调滤网轻微堵塞等，响应时间≤30 分钟，通知方式包括平台消息、邮件；</w:t>
      </w:r>
    </w:p>
    <w:p w14:paraId="47A18D4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4）提示告警（P4）：如设备固件版本更新提醒、资产即将过保等，响应时间≤24 小时，通知方式包括平台消息；</w:t>
      </w:r>
    </w:p>
    <w:p w14:paraId="1BB55F6B">
      <w:pPr>
        <w:spacing w:after="48" w:line="460" w:lineRule="exact"/>
        <w:ind w:firstLine="482"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b/>
          <w:bCs/>
          <w:color w:val="000000" w:themeColor="text1"/>
          <w:sz w:val="24"/>
          <w14:textFill>
            <w14:solidFill>
              <w14:schemeClr w14:val="tx1"/>
            </w14:solidFill>
          </w14:textFill>
        </w:rPr>
        <w:t>告警生命周期管理</w:t>
      </w:r>
      <w:r>
        <w:rPr>
          <w:rFonts w:hint="eastAsia" w:asciiTheme="majorEastAsia" w:hAnsiTheme="majorEastAsia" w:eastAsiaTheme="majorEastAsia"/>
          <w:color w:val="000000" w:themeColor="text1"/>
          <w:sz w:val="24"/>
          <w14:textFill>
            <w14:solidFill>
              <w14:schemeClr w14:val="tx1"/>
            </w14:solidFill>
          </w14:textFill>
        </w:rPr>
        <w:t>：支持告警状态流转（未处理→处理中→已解决→已关闭），处理中状态支持设置处理人、处理备注、预计解决时间；已解决状态需填写解决方法、验证结果；支持告警回溯查询（按时间、设备、级别、状态等多维度筛选），告警数据保留时间≥3 年。</w:t>
      </w:r>
    </w:p>
    <w:p w14:paraId="181A4D10">
      <w:pPr>
        <w:pStyle w:val="5"/>
        <w:spacing w:before="120" w:after="48"/>
        <w:rPr>
          <w:rFonts w:hint="eastAsia"/>
        </w:rPr>
      </w:pPr>
      <w:r>
        <w:rPr>
          <w:rFonts w:hint="eastAsia"/>
        </w:rPr>
        <w:t>智能运维与自动化编排</w:t>
      </w:r>
    </w:p>
    <w:p w14:paraId="440B1356">
      <w:pPr>
        <w:pStyle w:val="6"/>
        <w:numPr>
          <w:ilvl w:val="4"/>
          <w:numId w:val="0"/>
        </w:numPr>
        <w:tabs>
          <w:tab w:val="clear" w:pos="0"/>
        </w:tabs>
        <w:spacing w:before="120" w:after="48"/>
        <w:ind w:firstLine="480" w:firstLineChars="200"/>
      </w:pPr>
      <w:r>
        <w:rPr>
          <w:rFonts w:hint="eastAsia"/>
        </w:rPr>
        <w:t>1、故障智能诊断</w:t>
      </w:r>
    </w:p>
    <w:p w14:paraId="77F1B0B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诊断算法能力：集成决策树、神经网络、关联规则挖掘等多种机器学习算法，基于历史故障数据（≥10 万条样本）训练诊断模型，支持模型在线自学习（新增故障案例自动补充训练集）；</w:t>
      </w:r>
    </w:p>
    <w:p w14:paraId="0E16557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故障识别范围：覆盖医疗场景常见故障类型：网络类（链路中断、带宽拥塞、VLAN 配置错误、路由环路、无线漫游失败）、设备类（硬件故障、固件异常、配置错误）、系统类（数据库死锁、中间件崩溃、服务器宕机）、环境类（温湿度超标、供电异常）、医疗终端类（设备离线、数据传输失败），故障识别准确率≥85%；</w:t>
      </w:r>
    </w:p>
    <w:p w14:paraId="09D8C9F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根因定位能力：支持 “告警→日志→性能数据” 三位一体的根因追溯，例如当收到 “PACS 影像加载缓慢” 告警时，系统自动关联查询：网络链路带宽利用率、服务器 CPU / 内存负载、存储 IO 延迟、数据库查询响应时间等数据，定位根因（如存储 IO 瓶颈），定位时间≤5 分钟；对于复杂故障（多因素叠加），支持人工干预调整诊断维度；</w:t>
      </w:r>
    </w:p>
    <w:p w14:paraId="5CC8AA2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故障处置知识库：内置医疗行业专属知识库，包含≥500 个常见故障案例（按故障类型分类），每个案例需包含故障现象、触发条件、根因分析、处置步骤（图文结合）、验证方法、预防措施；支持知识库检索（关键词、故障类型、设备型号）、人工新增案例、案例点赞 / 收藏 / 评论功能，实现知识沉淀与复用。</w:t>
      </w:r>
    </w:p>
    <w:p w14:paraId="19344E19">
      <w:pPr>
        <w:pStyle w:val="6"/>
        <w:numPr>
          <w:ilvl w:val="4"/>
          <w:numId w:val="0"/>
        </w:numPr>
        <w:tabs>
          <w:tab w:val="clear" w:pos="0"/>
        </w:tabs>
        <w:spacing w:before="120" w:after="48"/>
        <w:ind w:firstLine="480" w:firstLineChars="200"/>
      </w:pPr>
      <w:r>
        <w:rPr>
          <w:rFonts w:hint="eastAsia"/>
        </w:rPr>
        <w:t>2、自动化运维编排</w:t>
      </w:r>
    </w:p>
    <w:p w14:paraId="06A4C3D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任务模板自定义：支持可视化拖拽式配置运维任务模板，无需编写代码；模板包含任务名称、描述、执行对象（设备组 / 单个设备 / 拓扑区域）、执行步骤（命令行 / API 调用 / 文件传输 / 脚本执行）、步骤依赖关系（串行 / 并行）、执行条件（如 CPU 利用率 &gt; 80% 时触发）、输出结果校验规则（如命令返回码 = 0 为成功）、失败处理策略（重试次数、告警通知）；</w:t>
      </w:r>
    </w:p>
    <w:p w14:paraId="79F9CFC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定时运维任务：支持两种定时模式：一是一次性定时（指定具体日期时间执行）；二是周期性定时（按小时 / 日 / 周 / 月重复，支持设置执行间隔、生效时间段、跳过节假日）；支持的定时运维场景包括：设备配置备份（每日凌晨 2 点执行）、系统日志清理（每周日凌晨 3 点执行）、网络性能巡检（每小时执行一次）、硬盘空间清理（当使用率超 85% 时触发）；</w:t>
      </w:r>
    </w:p>
    <w:p w14:paraId="7FA4890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批量操作能力：支持基于设备标签（如 “门诊楼交换机”“ICU 服务器”）、设备类型、拓扑区域筛选目标设备，单次批量操作支持设备数量≥1000 台；支持的批量操作包括：配置下发（如 VLAN 配置、ACL 规则）、固件升级、命令执行（如 ping、traceroute）、状态查询、文件分发（如配置文件、脚本）；批量操作支持断点续传（设备离线后上线自动继续执行）、执行结果实时反馈（成功 / 失败数量、失败原因）；</w:t>
      </w:r>
    </w:p>
    <w:p w14:paraId="662A21C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运维任务托管：支持将日常重复性运维工作设置为 “托管任务”，由平台自动执行并生成报告，例如：</w:t>
      </w:r>
    </w:p>
    <w:p w14:paraId="795E540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每日设备健康巡检：检查设备 CPU / 内存 / 磁盘负载、端口连接状态、告警数量，生成《设备健康日报》，标记异常设备；</w:t>
      </w:r>
    </w:p>
    <w:p w14:paraId="32C9E1F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每周配置合规检查：对比设备当前配置与标准配置模板，识别违规配置（如未启用端口安全、ACL 规则错误），生成《配置合规周报》并支持一键修复；</w:t>
      </w:r>
    </w:p>
    <w:p w14:paraId="05ED8EE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每月资产核对：比对平台资产信息与实际设备状态，识别资产变更（新增 / 下线 / 位置变动），生成《资产变更月报》；</w:t>
      </w:r>
    </w:p>
    <w:p w14:paraId="0590F2A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自动化故障修复：针对常见故障（如端口 Down、无线 AP 离线、数据库连接池满），支持配置 “告警触发型自动化任务”，当特定告警发生时，自动执行修复操作，例如：当收到 “交换机端口 Gi1/0/24 Down” 告警时，自动执行 “shutdown Gi1/0/24”→“no shutdown Gi1/0/24” 命令重启端口，修复后自动验证端口状态，若修复失败则触发人工通知。</w:t>
      </w:r>
    </w:p>
    <w:p w14:paraId="24BA320F">
      <w:pPr>
        <w:pStyle w:val="6"/>
        <w:numPr>
          <w:ilvl w:val="4"/>
          <w:numId w:val="0"/>
        </w:numPr>
        <w:tabs>
          <w:tab w:val="clear" w:pos="0"/>
        </w:tabs>
        <w:spacing w:before="120" w:after="48"/>
        <w:ind w:firstLine="480" w:firstLineChars="200"/>
      </w:pPr>
      <w:r>
        <w:rPr>
          <w:rFonts w:hint="eastAsia"/>
        </w:rPr>
        <w:t>3、性能优化建议</w:t>
      </w:r>
    </w:p>
    <w:p w14:paraId="161F3C2C">
      <w:pPr>
        <w:spacing w:after="48" w:line="460" w:lineRule="exact"/>
        <w:ind w:firstLine="420" w:firstLineChars="200"/>
        <w:rPr>
          <w:rFonts w:hint="eastAsia"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网络瓶颈分析：基于实时性能数据与历史趋势（近 7 天 / 30 天 / 90 天），自动识别网络瓶颈：如带宽瓶颈（某链路带宽利用率持续超 90%）、端口瓶颈（某端口丢包率持续超 1%）、无线瓶颈（某区域 AP 接入终端数超上限），生成瓶颈分析报告，包含瓶颈位置、影响范围、峰值时段、成因分析；</w:t>
      </w:r>
    </w:p>
    <w:p w14:paraId="47542BD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优化建议精准性：针对不同瓶颈类型提供具体可执行的优化建议，例如：</w:t>
      </w:r>
    </w:p>
    <w:p w14:paraId="0322B85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带宽瓶颈：建议 “扩容链路带宽至 10G”“配置 QoS 策略优先保障 PACS 影像传输流量”“限制非医疗业务（如视频下载）带宽占比≤10%”；</w:t>
      </w:r>
    </w:p>
    <w:p w14:paraId="660798C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无线瓶颈：建议 “新增 2 台 AP 部署于门诊楼 3 层东侧区域”“调整 AP 信道至 11 信道（当前信道干扰系数≥0.7）”“限制单 AP 最大接入终端数为 30 台”；</w:t>
      </w:r>
    </w:p>
    <w:p w14:paraId="4C7D180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服务器瓶颈：建议 “扩容服务器内存至 32GB（当前内存利用率持续超 85%）”“优化数据库索引（慢查询 TOP3 语句如下）”；</w:t>
      </w:r>
    </w:p>
    <w:p w14:paraId="7610DB6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无线射频智能调优：支持两种调优模式：一是实时调优（当 AP 信号干扰系数≥0.6、接入终端数超阈值时自动触发）；二是定时调优（每日凌晨 1 点执行全局调优）；调优参数包括信道（2.4G 支持 1/6/11 信道，5G 支持 36/40/44/48 等信道）、发射功率（1-27dBm 可调）、Beacon 间隔、漫游阈值；调优后需实现：信号覆盖无盲区（-75dBm 以上）、同信道干扰系数≤0.4、漫游成功率≥99.5%；</w:t>
      </w:r>
    </w:p>
    <w:p w14:paraId="7FBDE41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流量趋势与容量规划：支持自定义时间跨度（1 小时 - 1 年）的流量趋势分析，提供折线图、柱状图、热力图等可视化展示；基于历史数据（近 6 个月）采用指数平滑法预测未来 3 个月的流量增长趋势，当预测某链路 / 设备负载将超阈值时，提前 15 天生成容量扩容提醒；支持按业务类型（PACS 影像、门诊挂号、住院结算等）拆分流量占比，为带宽分配优化提供数据支撑。</w:t>
      </w:r>
    </w:p>
    <w:p w14:paraId="32E4594A">
      <w:pPr>
        <w:pStyle w:val="5"/>
        <w:spacing w:before="120" w:after="48"/>
        <w:rPr>
          <w:rFonts w:hint="eastAsia"/>
        </w:rPr>
      </w:pPr>
      <w:r>
        <w:rPr>
          <w:rFonts w:hint="eastAsia"/>
        </w:rPr>
        <w:t>资产与运维融合管理</w:t>
      </w:r>
    </w:p>
    <w:p w14:paraId="7D424D5C">
      <w:pPr>
        <w:pStyle w:val="6"/>
        <w:spacing w:before="120" w:after="48"/>
      </w:pPr>
      <w:r>
        <w:rPr>
          <w:rFonts w:hint="eastAsia"/>
        </w:rPr>
        <w:t>全生命周期资产管理</w:t>
      </w:r>
    </w:p>
    <w:p w14:paraId="739ECEA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1）资产分类与信息完整性：</w:t>
      </w:r>
    </w:p>
    <w:p w14:paraId="2E6C10F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资产分类：按医疗 IT 资产特性分为 6 大类：网络设备（交换机、路由器、AP、AC）、服务器设备（物理服务器、虚拟化主机）、存储设备（存储阵列、硬盘、U 盘）、终端设备（台式机、笔记本、平板、医疗专用终端）、安全设备（防火墙、入侵检测系统）、动环设备（UPS、精密空调、传感器）；</w:t>
      </w:r>
    </w:p>
    <w:p w14:paraId="02D414F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资产信息字段：每类资产需包含基础信息（资产编号、名称、型号、序列号、厂商、供应商、采购日期、质保期、报废日期、资产状态）、位置信息（所在楼宇、楼层、机房、机柜编号、U 位）、配置信息（IP 地址、MAC 地址、端口数量、硬件配置）、关联信息（关联设备、所属科室、使用人、运维负责人）；</w:t>
      </w:r>
    </w:p>
    <w:p w14:paraId="1D35593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2）资产流程管理：</w:t>
      </w:r>
    </w:p>
    <w:p w14:paraId="22AD6FA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入库管理：支持批量导入（Excel 模板）、二维码 / 条形码扫描录入、API 对接采购系统自动同步；入库时需上传采购合同扫描件、验收报告，生成入库单（包含资产清单、入库人、入库时间）；</w:t>
      </w:r>
    </w:p>
    <w:p w14:paraId="72A01E4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领用管理：支持线上领用申请（使用人发起、科室负责人审批、运维负责人确认），领用后资产状态变更为 “在用”，自动记录领用时间、使用人、所在位置；</w:t>
      </w:r>
    </w:p>
    <w:p w14:paraId="03B6326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变更管理：支持资产信息变更（如位置调整、使用人变更、配置升级）申请，需填写变更原因、变更内容，经审批后生效，变更记录永久留存；</w:t>
      </w:r>
    </w:p>
    <w:p w14:paraId="7FB884A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维修管理：支持维修申请（使用人 / 运维人员发起），记录维修原因、维修厂商、维修费用、维修周期、维修结果，维修期间资产状态变更为 “维修中”；</w:t>
      </w:r>
    </w:p>
    <w:p w14:paraId="64C55EA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调拨管理：支持跨科室资产调拨，需经调出科室负责人、调入科室负责人、运维负责人审批，调拨后自动更新资产所属科室、位置信息；</w:t>
      </w:r>
    </w:p>
    <w:p w14:paraId="02CCBC7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报废管理：支持报废申请（运维人员发起，需附报废检测报告），经科室负责人、财务负责人、院级领导审批后，资产状态变更为 “报废”，生成报废清单，支持与财务系统对接同步报废信息；</w:t>
      </w:r>
    </w:p>
    <w:p w14:paraId="03677AA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3）资产与监控联动：支持 “资产编号→设备监控→告警历史→运维记录” 一键跳转，例如通过资产编号查询某台交换机，可同步查看其实时运行状态、历史告警记录、配置备份版本、维修记录、巡检报告；当资产状态变更（如从 “在用” 变为 “维修中”）时，自动同步至监控系统，调整相关监控策略（如暂停维修期间的告警通知）；</w:t>
      </w:r>
    </w:p>
    <w:p w14:paraId="33D9F6F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4）资产标签管理：支持生成自定义二维码 / 条形码标签（包含资产编号、名称、型号、所属科室），支持标签打印（支持不同尺寸、材质选择）；支持移动端扫描标签快速查询资产信息、发起维修 / 变更申请。</w:t>
      </w:r>
    </w:p>
    <w:p w14:paraId="4BE47ACD">
      <w:pPr>
        <w:pStyle w:val="6"/>
        <w:spacing w:before="120" w:after="48"/>
      </w:pPr>
      <w:r>
        <w:rPr>
          <w:rFonts w:hint="eastAsia"/>
        </w:rPr>
        <w:t>运维工单管理</w:t>
      </w:r>
    </w:p>
    <w:p w14:paraId="1747D897">
      <w:pPr>
        <w:pStyle w:val="8"/>
        <w:numPr>
          <w:ilvl w:val="4"/>
          <w:numId w:val="0"/>
        </w:numPr>
        <w:tabs>
          <w:tab w:val="left" w:pos="312"/>
          <w:tab w:val="clear" w:pos="0"/>
        </w:tabs>
        <w:spacing w:before="120" w:after="48"/>
        <w:ind w:firstLine="480" w:firstLineChars="200"/>
        <w:rPr>
          <w:rFonts w:hint="eastAsia"/>
        </w:rPr>
      </w:pPr>
      <w:r>
        <w:rPr>
          <w:rFonts w:hint="eastAsia"/>
        </w:rPr>
        <w:t>1、工单类型与字段</w:t>
      </w:r>
    </w:p>
    <w:p w14:paraId="3A4CC70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工单类型：分为故障工单（处理网络故障、设备故障、应用故障）、巡检工单（执行定期巡检任务）、变更工单（处理配置变更、设备升级）、咨询工单（解答使用人疑问）；</w:t>
      </w:r>
    </w:p>
    <w:p w14:paraId="2E7B93B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工单核心字段：工单编号、标题、类型、优先级（紧急 / 重要 / 一般 / 低）、状态（未受理→处理中→已解决→已关闭）、发起部门、发起人、联系方式、故障描述（支持上传图片 / 视频）、涉及资产（可多选）、受理人、处理人、处理时间、解决方法、验证结果、满意度评分；</w:t>
      </w:r>
    </w:p>
    <w:p w14:paraId="55DF5E60">
      <w:pPr>
        <w:pStyle w:val="8"/>
        <w:numPr>
          <w:ilvl w:val="4"/>
          <w:numId w:val="0"/>
        </w:numPr>
        <w:tabs>
          <w:tab w:val="left" w:pos="312"/>
          <w:tab w:val="clear" w:pos="0"/>
        </w:tabs>
        <w:spacing w:before="120" w:after="48"/>
        <w:ind w:firstLine="480" w:firstLineChars="200"/>
        <w:rPr>
          <w:rFonts w:hint="eastAsia"/>
        </w:rPr>
      </w:pPr>
      <w:r>
        <w:rPr>
          <w:rFonts w:hint="eastAsia"/>
        </w:rPr>
        <w:t>2、工单流转机制</w:t>
      </w:r>
    </w:p>
    <w:p w14:paraId="753462D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自动派单：支持基于规则自动分配工单（如网络设备故障派给网络运维组、服务器故障派给系统运维组），支持负载均衡派单（按处理人当前未完成工单数量分配）；</w:t>
      </w:r>
    </w:p>
    <w:p w14:paraId="75C197E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手动派单：运维负责人可手动调整工单处理人，支持批量派单；</w:t>
      </w:r>
    </w:p>
    <w:p w14:paraId="1EECFD5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转派机制：处理人无法解决时，可发起转派申请（需说明转派原因），经运维负责人审批后转至其他处理人；</w:t>
      </w:r>
    </w:p>
    <w:p w14:paraId="04BFC1A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超时提醒：设置工单超时阈值（紧急工单≤15 分钟、重要工单≤30 分钟、一般工单≤2 小时、低优先级工单≤24 小时），超时前 10 分钟触发提醒，超时后自动升级至运维负责人；</w:t>
      </w:r>
    </w:p>
    <w:p w14:paraId="4B7515B5">
      <w:pPr>
        <w:pStyle w:val="8"/>
        <w:numPr>
          <w:ilvl w:val="4"/>
          <w:numId w:val="0"/>
        </w:numPr>
        <w:tabs>
          <w:tab w:val="left" w:pos="312"/>
          <w:tab w:val="clear" w:pos="0"/>
        </w:tabs>
        <w:spacing w:before="120" w:after="48"/>
        <w:ind w:firstLine="480" w:firstLineChars="200"/>
        <w:rPr>
          <w:rFonts w:hint="eastAsia"/>
        </w:rPr>
      </w:pPr>
      <w:r>
        <w:rPr>
          <w:rFonts w:hint="eastAsia"/>
        </w:rPr>
        <w:t>3、工单统计与分析</w:t>
      </w:r>
    </w:p>
    <w:p w14:paraId="65CEAC2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支持按工单类型、优先级、处理人、部门、时间段统计工单数量、平均处理时长、解决率、满意度评分，生成《运维工单月度报告》，支持导出 Excel、PDF 格式。</w:t>
      </w:r>
    </w:p>
    <w:p w14:paraId="44AE2CA1">
      <w:pPr>
        <w:pStyle w:val="6"/>
        <w:spacing w:before="120" w:after="48"/>
      </w:pPr>
      <w:r>
        <w:rPr>
          <w:rFonts w:hint="eastAsia"/>
        </w:rPr>
        <w:t>日志与审计管理</w:t>
      </w:r>
    </w:p>
    <w:p w14:paraId="68F2F0A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日志采集范围：覆盖网络设备日志（配置日志、操作日志、系统日志）、服务器日志（系统日志、应用日志、安全日志）、平台操作日志（登录日志、功能操作日志、工单处理日志）、安全设备日志（访问控制日志、入侵告警日志）、医疗业务系统日志（交易日志、访问日志）；</w:t>
      </w:r>
    </w:p>
    <w:p w14:paraId="4B06500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日志处理能力：支持日志实时采集（延迟≤10 秒）、批量导入、API 对接第三方系统日志；支持日志标准化解析（统一字段格式：日志时间、设备名称、IP 地址、日志类型、事件描述、操作人、结果状态）；日志存储容量支持≥10TB，保留时间≥1 年，支持压缩存储（压缩比≥5:1）；</w:t>
      </w:r>
    </w:p>
    <w:p w14:paraId="4C38892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日志检索与分析：支持多维度检索（按时间范围、设备类型、日志类型、关键词、操作人等），支持模糊查询、精确查询、组合查询；支持日志可视化分析（如日志分布饼图、事件趋势折线图、异常日志 TOP10）；支持日志导出（Excel、CSV 格式），导出时需记录导出人、导出时间、导出范围；</w:t>
      </w:r>
    </w:p>
    <w:p w14:paraId="2FF1DBD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操作审计：记录所有平台操作行为，包括登录（登录账号、IP 地址、登录时间、登录结果）、配置修改（修改前配置、修改后配置、修改人、修改时间、审批状态）、工单处理（工单编号、操作类型、操作人、操作时间）、资产变更（资产编号、变更内容、操作人、审批状态）；审计日志支持按操作人、操作类型、时间范围查询，支持生成审计报告，审计记录永久留存，不可篡改。</w:t>
      </w:r>
    </w:p>
    <w:p w14:paraId="6C8B453B">
      <w:pPr>
        <w:pStyle w:val="5"/>
        <w:spacing w:before="120" w:after="48"/>
        <w:rPr>
          <w:rFonts w:hint="eastAsia"/>
        </w:rPr>
      </w:pPr>
      <w:r>
        <w:rPr>
          <w:rFonts w:hint="eastAsia"/>
        </w:rPr>
        <w:t>数据统计与报表分析</w:t>
      </w:r>
    </w:p>
    <w:p w14:paraId="35EBD3E2">
      <w:pPr>
        <w:pStyle w:val="6"/>
        <w:spacing w:before="120" w:after="48"/>
      </w:pPr>
      <w:r>
        <w:rPr>
          <w:rFonts w:hint="eastAsia"/>
        </w:rPr>
        <w:t>多维度报表生成</w:t>
      </w:r>
    </w:p>
    <w:p w14:paraId="332C4AD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标准报表库：内置≥20 类标准报表，涵盖：</w:t>
      </w:r>
    </w:p>
    <w:p w14:paraId="4540B7E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运行状态类：《设备可用性日报》《网络性能周报》《服务器负载月报》《用户体验统计报告》；</w:t>
      </w:r>
    </w:p>
    <w:p w14:paraId="5EDB2A6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告警统计类：《告警汇总日报》《告警分级统计周报》《高频告警分析月报》《故障类型分布报告》；</w:t>
      </w:r>
    </w:p>
    <w:p w14:paraId="18F667F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运维管理类：《工单处理统计日报》《运维工作量月报》《故障修复时间分析报告》《自动化任务执行报告》；</w:t>
      </w:r>
    </w:p>
    <w:p w14:paraId="3FFF519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资产管理类：《资产状态统计报告》《资产质保期预警报告》《资产维修统计报告》《资产采购趋势报告》；</w:t>
      </w:r>
    </w:p>
    <w:p w14:paraId="40E8CB3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合规审计类：《操作审计月报》《配置合规检查报告》《日志安全分析报告》《等保合规自查报告》；</w:t>
      </w:r>
    </w:p>
    <w:p w14:paraId="3DC7F46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自定义报表：支持可视化报表配置，用户可选择报表名称、统计周期（日 / 周 / 月 / 季 / 年）、统计维度（设备类型、科室、区域、时间）、指标类型（可用性、负载、告警数量、工单数量等）、展示方式（表格、折线图、柱状图、饼图、热力图）；支持设置报表过滤条件（如仅统计门诊楼设备、仅统计紧急告警）；</w:t>
      </w:r>
    </w:p>
    <w:p w14:paraId="3AF74EC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报表输出与分发：支持报表导出为 PDF、Excel、Word、图片格式；支持定时分发（如每日 8 点自动发送《设备可用性日报》至运维负责人邮箱）；支持报表订阅（用户可订阅感兴趣的报表，系统自动推送）；支持报表在线分享（生成分享链接，设置访问权限与有效期）。</w:t>
      </w:r>
    </w:p>
    <w:p w14:paraId="3C96402C">
      <w:pPr>
        <w:pStyle w:val="6"/>
        <w:spacing w:before="120" w:after="48"/>
      </w:pPr>
      <w:r>
        <w:rPr>
          <w:rFonts w:hint="eastAsia"/>
        </w:rPr>
        <w:t>数据洞察与决策支持</w:t>
      </w:r>
    </w:p>
    <w:p w14:paraId="6B28B8F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多指标对比分析：支持在同一时间轴上对比多个指标（如同一链路的带宽利用率、丢包率、时延）、多个设备（如 3 台核心交换机的 CPU 利用率）、多个时间段（如本周与上周的告警数量），支持拖拽调整时间范围、指标类型，图表实时刷新；</w:t>
      </w:r>
    </w:p>
    <w:p w14:paraId="144BD10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数据钻取分析：支持从宏观数据钻取至微观细节，例如：从 “全院网络健康度评分” 钻取至 “某楼宇网络健康度”，再钻取至 “某楼层交换机健康度”，最后钻取至 “该交换机的具体告警与性能数据”；</w:t>
      </w:r>
    </w:p>
    <w:p w14:paraId="3B9F3E3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TOP N 分析：支持自定义 TOP N 统计（如 TOP10 高负载设备、TOP5 频繁告警科室、TOP3 慢响应应用、TOP10 长处理时间工单），支持按不同维度排序（如按告警数量降序、按响应时间升序）；</w:t>
      </w:r>
    </w:p>
    <w:p w14:paraId="67232FD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网络健康度评分：建立多维度健康度评估模型，评分维度包括设备可用性（权重 30%）、性能指标达标率（权重 25%）、告警数量（权重 20%）、配置合规率（权重 15%）、运维工单解决率（权重 10%）；评分范围 0-100 分（90 分以上为优秀、80-89 分为良好、70-79 分为合格、70 分以下为不合格）；支持按全院、楼宇、科室、设备类型生成健康度评分报告，自动识别健康度偏低的区域 / 设备，提供优化建议；</w:t>
      </w:r>
    </w:p>
    <w:p w14:paraId="4BEFB6E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决策支持报表：生成《医院网络运维年度报告》，包含网络运行概况（设备数量、终端接入量、数据传输量）、运维绩效（故障处理效率、工单完成率、自动化运维占比）、资源利用情况（带宽利用率、服务器负载、存储容量）、安全合规情况（漏洞修复率、合规检查通过率）、问题与优化建议（重点问题清单、下一年度建设规划），为院级决策提供数据支撑。</w:t>
      </w:r>
    </w:p>
    <w:p w14:paraId="4648ADA9">
      <w:pPr>
        <w:pStyle w:val="4"/>
        <w:spacing w:before="120" w:after="48"/>
        <w:rPr>
          <w:rFonts w:hint="eastAsia"/>
        </w:rPr>
      </w:pPr>
      <w:r>
        <w:rPr>
          <w:rFonts w:hint="eastAsia"/>
        </w:rPr>
        <w:t>性能指标要求</w:t>
      </w:r>
    </w:p>
    <w:p w14:paraId="6D3AFBE4">
      <w:pPr>
        <w:pStyle w:val="5"/>
        <w:spacing w:before="120" w:after="48"/>
        <w:rPr>
          <w:rFonts w:hint="eastAsia"/>
        </w:rPr>
      </w:pPr>
      <w:r>
        <w:rPr>
          <w:rFonts w:hint="eastAsia"/>
        </w:rPr>
        <w:t>设备接入能力</w:t>
      </w:r>
    </w:p>
    <w:p w14:paraId="0ADE4F5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网络设备：支持≥20000 台交换机、路由器、AP 等网络设备同时管理；</w:t>
      </w:r>
    </w:p>
    <w:p w14:paraId="0D95A91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服务器与存储：支持≥5000 台物理服务器、虚拟化主机，≥100 套存储阵列管理；</w:t>
      </w:r>
    </w:p>
    <w:p w14:paraId="4183FEC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终端设备：支持≥100000 个有线 / 无线终端（含医疗专用终端）同时接入监控；</w:t>
      </w:r>
    </w:p>
    <w:p w14:paraId="7FD270C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动环设备：支持≥10000 个传感器、UPS、空调等动环设备接入；</w:t>
      </w:r>
    </w:p>
    <w:p w14:paraId="473CB976">
      <w:pPr>
        <w:pStyle w:val="5"/>
        <w:spacing w:before="120" w:after="48"/>
        <w:rPr>
          <w:rFonts w:hint="eastAsia"/>
        </w:rPr>
      </w:pPr>
      <w:r>
        <w:rPr>
          <w:rFonts w:hint="eastAsia"/>
        </w:rPr>
        <w:t>数据采集性能</w:t>
      </w:r>
    </w:p>
    <w:p w14:paraId="7FA3CEC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故障轮询间隔：最小支持 5 秒级轮询，可自定义调整轮询周期（5 秒 - 1 小时）；</w:t>
      </w:r>
    </w:p>
    <w:p w14:paraId="4A40FCF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性能数据采集间隔：最小支持 10 秒级采集，核心指标（如带宽利用率、CPU 负载）支持 1 秒级采集；</w:t>
      </w:r>
    </w:p>
    <w:p w14:paraId="3A34703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事件处理能力：每分钟可处理故障事件≥15000 个，日志数据≥50000 条，告警信息≥10000 条；</w:t>
      </w:r>
    </w:p>
    <w:p w14:paraId="08C1861C">
      <w:pPr>
        <w:pStyle w:val="5"/>
        <w:spacing w:before="120" w:after="48"/>
        <w:rPr>
          <w:rFonts w:hint="eastAsia"/>
        </w:rPr>
      </w:pPr>
      <w:r>
        <w:rPr>
          <w:rFonts w:hint="eastAsia"/>
        </w:rPr>
        <w:t>系统响应性能</w:t>
      </w:r>
    </w:p>
    <w:p w14:paraId="0342A66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拓扑图加载：全量拓扑图加载时间≤3 秒，局部拓扑图加载时间≤1 秒；</w:t>
      </w:r>
    </w:p>
    <w:p w14:paraId="2EF5B8A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报表生成：标准报表生成时间≤10 秒，自定义复杂报表生成时间≤30 秒；</w:t>
      </w:r>
    </w:p>
    <w:p w14:paraId="23B970E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故障诊断：单故障诊断响应时间≤5 秒，复杂故障（多因素叠加）诊断响应时间≤15 秒；</w:t>
      </w:r>
    </w:p>
    <w:p w14:paraId="1C2C378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检索性能：日志检索（近 1 个月数据）响应时间≤3 秒，资产信息检索响应时间≤1 秒；</w:t>
      </w:r>
    </w:p>
    <w:p w14:paraId="675B6DC4">
      <w:pPr>
        <w:pStyle w:val="5"/>
        <w:spacing w:before="120" w:after="48"/>
        <w:rPr>
          <w:rFonts w:hint="eastAsia"/>
        </w:rPr>
      </w:pPr>
      <w:r>
        <w:rPr>
          <w:rFonts w:hint="eastAsia"/>
        </w:rPr>
        <w:t>系统稳定性</w:t>
      </w:r>
    </w:p>
    <w:p w14:paraId="398EE0B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可用性：全年系统可用性≥99.99%，即年故障停机时间≤52.56 分钟；</w:t>
      </w:r>
    </w:p>
    <w:p w14:paraId="3950285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连续运行时间：支持 7×24 小时不间断运行，无故障连续运行时间≥365 天；</w:t>
      </w:r>
    </w:p>
    <w:p w14:paraId="5327A91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容错能力：单模块故障（如采集模块）不影响其他模块运行，支持热插拔、故障自动切换；</w:t>
      </w:r>
    </w:p>
    <w:p w14:paraId="338E558F">
      <w:pPr>
        <w:pStyle w:val="5"/>
        <w:spacing w:before="120" w:after="48"/>
        <w:rPr>
          <w:rFonts w:hint="eastAsia"/>
        </w:rPr>
      </w:pPr>
      <w:r>
        <w:rPr>
          <w:rFonts w:hint="eastAsia"/>
        </w:rPr>
        <w:t>存储能力</w:t>
      </w:r>
    </w:p>
    <w:p w14:paraId="76751B0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性能数据存储：支持≥1 年的性能指标数据存储（按 10 秒级采集频率，20000 台设备计算）；</w:t>
      </w:r>
    </w:p>
    <w:p w14:paraId="0599B6D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告警与日志存储：支持≥3 年的告警数据、≥1 年的操作日志与系统日志存储；</w:t>
      </w:r>
    </w:p>
    <w:p w14:paraId="750899B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配置备份存储：支持≥100 个版本的设备配置备份存储，每个版本保留时间≥6 个月；</w:t>
      </w:r>
    </w:p>
    <w:p w14:paraId="65FEF1F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存储扩展：支持存储容量弹性扩展，可通过新增存储节点实现容量扩容，扩容过程不影响系统运行；</w:t>
      </w:r>
    </w:p>
    <w:p w14:paraId="0095E9A7">
      <w:pPr>
        <w:pStyle w:val="5"/>
        <w:spacing w:before="120" w:after="48"/>
        <w:rPr>
          <w:rFonts w:hint="eastAsia"/>
        </w:rPr>
      </w:pPr>
      <w:r>
        <w:rPr>
          <w:rFonts w:hint="eastAsia"/>
        </w:rPr>
        <w:t>并发访问能力</w:t>
      </w:r>
    </w:p>
    <w:p w14:paraId="1231596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支持≥200 个用户同时在线操作，≥50 个用户并发执行报表生成、日志检索等复杂操作，系统无卡顿、无响应延迟。</w:t>
      </w:r>
    </w:p>
    <w:p w14:paraId="0A3E8A13">
      <w:pPr>
        <w:pStyle w:val="4"/>
        <w:spacing w:before="120" w:after="48"/>
        <w:rPr>
          <w:rFonts w:hint="eastAsia"/>
        </w:rPr>
      </w:pPr>
      <w:r>
        <w:rPr>
          <w:rFonts w:hint="eastAsia"/>
        </w:rPr>
        <w:t>兼容性要求</w:t>
      </w:r>
    </w:p>
    <w:p w14:paraId="1C43C3D9">
      <w:pPr>
        <w:pStyle w:val="5"/>
        <w:spacing w:before="120" w:after="48"/>
        <w:rPr>
          <w:rFonts w:hint="eastAsia"/>
        </w:rPr>
      </w:pPr>
      <w:r>
        <w:rPr>
          <w:rFonts w:hint="eastAsia"/>
        </w:rPr>
        <w:t>硬件兼容性</w:t>
      </w:r>
    </w:p>
    <w:p w14:paraId="6EBD1BD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网络设备：兼容华为、H3C、Cisco、锐捷、 Juniper 等主流品牌，支持国产网络设备（如浪潮、新华三）；</w:t>
      </w:r>
    </w:p>
    <w:p w14:paraId="67E295B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服务器设备：兼容 HP、Dell、IBM、联想、华为等品牌，支持国产服务器（如浪潮、中科曙光、华为鲲鹏）；</w:t>
      </w:r>
    </w:p>
    <w:p w14:paraId="7A962D9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存储设备：兼容 EMC、NetApp、华为、H3C 等品牌，支持国产存储设备（如浪潮、中科曙光）；</w:t>
      </w:r>
    </w:p>
    <w:p w14:paraId="6E612A0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医疗专用设备：兼容 GE、西门子、飞利浦等品牌的 CT 机、MRI 机、超声仪等医疗设备的网络接口监控；</w:t>
      </w:r>
    </w:p>
    <w:p w14:paraId="2096B67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动环设备：兼容华为、维谛、科士达等品牌的 UPS、精密空调，支持标准 Modbus 协议的传感器设备；</w:t>
      </w:r>
    </w:p>
    <w:p w14:paraId="50E21425">
      <w:pPr>
        <w:pStyle w:val="5"/>
        <w:spacing w:before="120" w:after="48"/>
        <w:rPr>
          <w:rFonts w:hint="eastAsia"/>
        </w:rPr>
      </w:pPr>
      <w:r>
        <w:rPr>
          <w:rFonts w:hint="eastAsia"/>
        </w:rPr>
        <w:t>软件兼容性</w:t>
      </w:r>
    </w:p>
    <w:p w14:paraId="0C2BBC6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操作系统：支持 Windows Server 2016 及以上版本、Linux（CentOS 7.0+、Ubuntu 16.04+）、国产操作系统（麒麟 V4/V5、统信 UOS V20）；</w:t>
      </w:r>
    </w:p>
    <w:p w14:paraId="04E6FFD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数据库：支持 Oracle 11g 及以上版本、MySQL 5.7 及以上版本、SQL Server 2016 及以上版本、国产数据库（达梦 8.0+、人大金仓 V8）；</w:t>
      </w:r>
    </w:p>
    <w:p w14:paraId="2CF2188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虚拟化平台：支持 VMware ESXi 6.0+、KVM、Hyper-V 2016+、国产虚拟化平台（华为 FusionSphere、浪潮 InCloud Sphere）；</w:t>
      </w:r>
    </w:p>
    <w:p w14:paraId="5EA3ADB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中间件：支持 Tomcat 8.0+、WebLogic 12c+、Nginx 1.12+、Redis 4.0+、RabbitMQ 3.6+；</w:t>
      </w:r>
    </w:p>
    <w:p w14:paraId="484C0193">
      <w:pPr>
        <w:pStyle w:val="5"/>
        <w:spacing w:before="120" w:after="48"/>
        <w:rPr>
          <w:rFonts w:hint="eastAsia"/>
        </w:rPr>
      </w:pPr>
      <w:r>
        <w:rPr>
          <w:rFonts w:hint="eastAsia"/>
        </w:rPr>
        <w:t>协议兼容性</w:t>
      </w:r>
    </w:p>
    <w:p w14:paraId="26E531C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网络协议：支持 SNMP v1/v2c/v3、Syslog、Telemetry、LLDP、CDP、ICMP、TCP/UDP、VXLAN、BGP、OSPF 等；</w:t>
      </w:r>
    </w:p>
    <w:p w14:paraId="41B477A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存储协议：支持 iSCSI、FC、NFS、CIFS 等；</w:t>
      </w:r>
    </w:p>
    <w:p w14:paraId="435F87B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虚拟化协议：支持 VMware vSphere API、KVM libvirt API 等；</w:t>
      </w:r>
    </w:p>
    <w:p w14:paraId="42E5E12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通用协议：支持 HTTP/HTTPS、RESTful API、WebSocket、JDBC/ODBC 等；</w:t>
      </w:r>
    </w:p>
    <w:p w14:paraId="07FB6A11">
      <w:pPr>
        <w:pStyle w:val="4"/>
        <w:spacing w:before="120" w:after="48"/>
        <w:rPr>
          <w:rFonts w:hint="eastAsia"/>
        </w:rPr>
      </w:pPr>
      <w:r>
        <w:rPr>
          <w:rFonts w:hint="eastAsia"/>
        </w:rPr>
        <w:t>安全与合规要求</w:t>
      </w:r>
    </w:p>
    <w:p w14:paraId="5320B9EF">
      <w:pPr>
        <w:pStyle w:val="5"/>
        <w:spacing w:before="120" w:after="48"/>
        <w:rPr>
          <w:rFonts w:hint="eastAsia"/>
        </w:rPr>
      </w:pPr>
      <w:r>
        <w:rPr>
          <w:rFonts w:hint="eastAsia"/>
        </w:rPr>
        <w:t>权限管理</w:t>
      </w:r>
    </w:p>
    <w:p w14:paraId="2989E2A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基于角色的访问控制（RBAC）：支持自定义角色（如系统管理员、网络运维员、服务器运维员、科室管理员、普通用户），每个角色可分配细粒度权限（功能权限：如拓扑查看、告警处理、工单审批；数据权限：如仅查看本科室设备、仅操作指定设备组）；</w:t>
      </w:r>
    </w:p>
    <w:p w14:paraId="29C9494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用户管理：支持用户创建、禁用、密码重置，密码需满足复杂度要求（长度≥8 位，包含大小写字母、数字、特殊字符），支持密码有效期设置（默认 90 天）、登录失败锁定（连续 5 次失败锁定 30 分钟）；</w:t>
      </w:r>
    </w:p>
    <w:p w14:paraId="2A0C36F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多因素认证：支持双因素认证（账号密码 + 动态验证码 / USB Key），可配置仅管理员账号启用或所有用户启用；</w:t>
      </w:r>
    </w:p>
    <w:p w14:paraId="31A5F208">
      <w:pPr>
        <w:pStyle w:val="5"/>
        <w:spacing w:before="120" w:after="48"/>
        <w:rPr>
          <w:rFonts w:hint="eastAsia"/>
        </w:rPr>
      </w:pPr>
      <w:r>
        <w:rPr>
          <w:rFonts w:hint="eastAsia"/>
        </w:rPr>
        <w:t>数据安全</w:t>
      </w:r>
    </w:p>
    <w:p w14:paraId="4642F53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传输安全：平台内部节点之间、平台与被监控设备之间的数据传输采用 SSL/TLS 1.2 + 加密，密钥长度≥2048 位；支持 HTTPS 访问平台，禁用 HTTP 协议；</w:t>
      </w:r>
    </w:p>
    <w:p w14:paraId="11C751A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存储安全：敏感数据（如用户密码、设备登录凭证）采用 AES-256 加密存储；数据库支持透明数据加密（TDE）；支持数据备份与恢复（手动备份 + 自动定时备份，备份策略可自定义），备份数据存储在异地或加密存储设备，恢复时间目标（RTO）≤4 小时，恢复点目标（RPO）≤1 小时；</w:t>
      </w:r>
    </w:p>
    <w:p w14:paraId="2694060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访问安全：支持配置 IP 白名单（仅允许指定 IP 段访问平台）；支持登录日志审计（记录登录账号、IP 地址、登录时间、登录结果、退出时间）；</w:t>
      </w:r>
    </w:p>
    <w:p w14:paraId="17B80147">
      <w:pPr>
        <w:pStyle w:val="5"/>
        <w:spacing w:before="120" w:after="48"/>
        <w:rPr>
          <w:rFonts w:hint="eastAsia"/>
        </w:rPr>
      </w:pPr>
      <w:r>
        <w:rPr>
          <w:rFonts w:hint="eastAsia"/>
        </w:rPr>
        <w:t>合规性要求</w:t>
      </w:r>
    </w:p>
    <w:p w14:paraId="0915C64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符合《中华人民共和国网络安全法》《中华人民共和国数据安全法》《中华人民共和国个人信息保护法》《医疗数据安全指南》等法律法规要求；</w:t>
      </w:r>
    </w:p>
    <w:p w14:paraId="23636DB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满足网络安全等级保护 2.0 三级标准要求，提供等保三级备案证明或测评报告；</w:t>
      </w:r>
    </w:p>
    <w:p w14:paraId="38744DC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符合医疗行业数据分类分级要求，对医疗业务数据、用户隐私数据（如患者信息）的运维操作进行严格管控，禁止未授权访问与泄露；</w:t>
      </w:r>
    </w:p>
    <w:p w14:paraId="60D9D99C">
      <w:pPr>
        <w:pStyle w:val="5"/>
        <w:spacing w:before="120" w:after="48"/>
        <w:rPr>
          <w:rFonts w:hint="eastAsia"/>
        </w:rPr>
      </w:pPr>
      <w:r>
        <w:rPr>
          <w:rFonts w:hint="eastAsia"/>
        </w:rPr>
        <w:t>操作安全</w:t>
      </w:r>
    </w:p>
    <w:p w14:paraId="207E269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敏感操作审批：对高危操作（如设备配置删除、资产报废、系统参数修改）实行二次授权与审批流程，需经运维负责人或上级领导审批后方可执行；</w:t>
      </w:r>
    </w:p>
    <w:p w14:paraId="229B3E6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操作全程留痕：所有运维操作（登录、配置修改、工单处理、资产变更、报表导出）均生成审计日志，包含操作人、操作时间、操作内容、操作结果、IP 地址，审计日志不可篡改、不可删除，保留时间≥3 年；</w:t>
      </w:r>
    </w:p>
    <w:p w14:paraId="38B6D80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应急处置：提供安全应急处置流程与预案，支持异常操作（如批量导出敏感数据、异地登录）自动告警，支持紧急情况下的系统锁定、数据隔离功能。</w:t>
      </w:r>
    </w:p>
    <w:p w14:paraId="598B5F9C">
      <w:pPr>
        <w:pStyle w:val="4"/>
        <w:spacing w:before="120" w:after="48"/>
        <w:rPr>
          <w:rFonts w:hint="eastAsia"/>
        </w:rPr>
      </w:pPr>
      <w:r>
        <w:rPr>
          <w:rFonts w:hint="eastAsia"/>
        </w:rPr>
        <w:t>扩展性要求</w:t>
      </w:r>
    </w:p>
    <w:p w14:paraId="52DFCB4C">
      <w:pPr>
        <w:pStyle w:val="5"/>
        <w:spacing w:before="120" w:after="48"/>
        <w:rPr>
          <w:rFonts w:hint="eastAsia"/>
        </w:rPr>
      </w:pPr>
      <w:r>
        <w:rPr>
          <w:rFonts w:hint="eastAsia"/>
        </w:rPr>
        <w:t>架构扩展性</w:t>
      </w:r>
    </w:p>
    <w:p w14:paraId="6E87047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模块化设计：平台采用微服务架构，核心模块（监控采集、告警管理、智能诊断、资产管理、工单管理、报表分析）独立部署，支持按需启用 / 停用模块；</w:t>
      </w:r>
    </w:p>
    <w:p w14:paraId="4CC32B9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弹性扩容：支持基于业务需求新增功能模块（如后续可扩展安全态势感知、云资源监控、物联网设备监控模块），扩展过程不影响现有模块运行；</w:t>
      </w:r>
    </w:p>
    <w:p w14:paraId="766CEC8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性能扩容：支持通过增加节点（采集节点、存储节点、分析节点）提升系统处理能力，适应设备数量与数据量增长；</w:t>
      </w:r>
    </w:p>
    <w:p w14:paraId="4BBB676A">
      <w:pPr>
        <w:pStyle w:val="5"/>
        <w:spacing w:before="120" w:after="48"/>
        <w:rPr>
          <w:rFonts w:hint="eastAsia"/>
        </w:rPr>
      </w:pPr>
      <w:r>
        <w:rPr>
          <w:rFonts w:hint="eastAsia"/>
        </w:rPr>
        <w:t>二次开发支持</w:t>
      </w:r>
    </w:p>
    <w:p w14:paraId="6F7B1BF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开放 API 接口：提供 RESTful API、WebService API 等标准化接口，支持第三方系统（如 OA 系统、财务系统、安全管理平台）调用，接口文档完整（包含接口地址、参数说明、返回格式、调用示例、错误码）；</w:t>
      </w:r>
    </w:p>
    <w:p w14:paraId="60EC66A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二次开发平台：提供可视化二次开发工具，支持自定义功能模块（无需修改核心代码）、自定义监控指标（配置采集协议、解析规则）、自定义报表模板、自定义工单流程；</w:t>
      </w:r>
    </w:p>
    <w:p w14:paraId="682B478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插件支持：支持插件化开发与部署，提供插件开发 SDK 与开发指南，支持开发自定义采集插件、告警插件、分析插件，插件可通过平台市场在线安装与升级；</w:t>
      </w:r>
    </w:p>
    <w:p w14:paraId="5F63A942">
      <w:pPr>
        <w:pStyle w:val="5"/>
        <w:spacing w:before="120" w:after="48"/>
        <w:rPr>
          <w:rFonts w:hint="eastAsia"/>
        </w:rPr>
      </w:pPr>
      <w:r>
        <w:rPr>
          <w:rFonts w:hint="eastAsia"/>
        </w:rPr>
        <w:t>系统集成能力</w:t>
      </w:r>
    </w:p>
    <w:p w14:paraId="0D61310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与现有系统集成：支持与医院 OA 系统（对接审批流程）、财务系统（对接资产采购、报废信息）、采购系统（对接资产入库信息）、安全管理平台（对接安全告警、漏洞信息）、医疗业务系统（对接业务指标、交易数据）集成，实现数据互通与流程联动；</w:t>
      </w:r>
    </w:p>
    <w:p w14:paraId="64A3A50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与第三方工具集成：支持与常用运维工具（如 Ansible、Jenkins、Zabbix）集成，实现运维工具的统一管理与调度；</w:t>
      </w:r>
    </w:p>
    <w:p w14:paraId="74FEC732">
      <w:pPr>
        <w:pStyle w:val="5"/>
        <w:spacing w:before="120" w:after="48"/>
        <w:rPr>
          <w:rFonts w:hint="eastAsia"/>
        </w:rPr>
      </w:pPr>
      <w:r>
        <w:rPr>
          <w:rFonts w:hint="eastAsia"/>
        </w:rPr>
        <w:t>升级兼容性</w:t>
      </w:r>
    </w:p>
    <w:p w14:paraId="6D2CB83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平滑升级：支持系统版本在线升级，升级过程不中断运维服务（业务无感知），升级后保留历史数据（监控数据、告警记录、工单信息、资产信息）与配置信息；</w:t>
      </w:r>
    </w:p>
    <w:p w14:paraId="67A3AA9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向下兼容：新版本系统需兼容旧版本的配置文件、数据格式、API 接口，确保升级后第三方集成系统正常运行。</w:t>
      </w:r>
    </w:p>
    <w:p w14:paraId="0CD41489">
      <w:pPr>
        <w:pStyle w:val="3"/>
        <w:spacing w:before="120" w:after="48"/>
        <w:rPr>
          <w:rFonts w:hint="eastAsia"/>
        </w:rPr>
      </w:pPr>
      <w:r>
        <w:rPr>
          <w:rFonts w:hint="eastAsia"/>
        </w:rPr>
        <w:t>无线网络升级改造需求</w:t>
      </w:r>
    </w:p>
    <w:p w14:paraId="3F248FA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本次项目建设需实现以下区域的全面覆盖，同时对原无线覆盖区域进行信号优化和性能升级：</w:t>
      </w:r>
    </w:p>
    <w:p w14:paraId="78A7E93C">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 新增覆盖区域：门诊楼各诊疗室、候诊区、挂号缴费区；医技科室（影像科、检验科、超声科、病理科等）；急诊科及急救通道；地下车库、电梯间；新扩建的住院楼层及附属功能区域；行政办公区未覆盖区域。</w:t>
      </w:r>
    </w:p>
    <w:p w14:paraId="5CAB8E6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 优化区域：对无线网络已覆盖的住院楼、行政楼等区域，重点优化信号弱、干扰严重的病房、走廊、医生工作站等区域，解决信道拥堵、传输速率低等问题。</w:t>
      </w:r>
    </w:p>
    <w:p w14:paraId="3C828C3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网络架构需求:</w:t>
      </w:r>
    </w:p>
    <w:p w14:paraId="774AC7F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采用“集中式AC+瘦AP”的架构模式，部署分层式AC架构，在总院设置主AC，关键楼宇或独立区域部署区域AC，通过IPsec隧道实现互联，兼顾管理集中性和局部自治能力。</w:t>
      </w:r>
    </w:p>
    <w:p w14:paraId="0AE542D8">
      <w:pPr>
        <w:pStyle w:val="4"/>
        <w:tabs>
          <w:tab w:val="clear" w:pos="312"/>
        </w:tabs>
        <w:spacing w:before="120" w:after="48"/>
        <w:rPr>
          <w:rFonts w:hint="eastAsia"/>
        </w:rPr>
      </w:pPr>
      <w:r>
        <w:rPr>
          <w:rFonts w:hint="eastAsia"/>
        </w:rPr>
        <w:t>无线网络现状</w:t>
      </w:r>
    </w:p>
    <w:p w14:paraId="1842074D">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目前在我院的天河和岭南院区已实现部分住院区域的医疗无线内网覆盖， 无线设备主要为：2012年建设的Cisco AP设备，2018年建设的H3C AP设备，2024年建设的华为 AP设备，在前期建设中采用新旧结合的方式进行无线内网覆盖。</w:t>
      </w:r>
    </w:p>
    <w:p w14:paraId="381EDC9B">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旧设备覆盖区域及设备状况：Cisco覆盖区域（2012年建设）、心理1,2,4区，门诊后座。Cisco设备状况：Cisco设备建设较早，只支持WiFi4，仅支持2.4G频道。无线信号受到干扰，在实际运行过程中遇到信号满格，但移动设备可连上但无法上网，设备不稳定，和现有设备兼容性差，基本满足不了现在无线业务需求，在本次无线网络建设项目中将全部拆除。</w:t>
      </w:r>
    </w:p>
    <w:p w14:paraId="1301F2AA">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H3C覆盖区域（2018年12月建设完成、馈线方式）：岭南住院2-10楼，天河住院2-6楼，综合楼11-18楼，远洋7-8楼，肝病4-15楼。H3C设备状况：H3C设备建设较早，使用WiFi5技术，支持2.4g和5g频段。</w:t>
      </w:r>
    </w:p>
    <w:p w14:paraId="4CC71AC1">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华为覆盖区域（2024年建设完成、零漫游方式）：岭南住院2-10楼，天河住院2-6楼，综合楼11-18楼，远洋7-8楼。华为设备状态：华为建设较晚，使用WiFi6技术，支持2.4g和5g频段，使用零漫游技术。</w:t>
      </w:r>
    </w:p>
    <w:p w14:paraId="0D5A4465">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经详细调研后发现，当前我们的无线网络存在以下问题：</w:t>
      </w:r>
    </w:p>
    <w:p w14:paraId="5AFE87D8">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网速慢：临床科室反映网速慢，经常出现卡顿、掉线等情况。由于我院现有无线网络建设时间较早，部分设备的稳定性差，所以造成临床体验感不佳。</w:t>
      </w:r>
    </w:p>
    <w:p w14:paraId="71AE494D">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信号弱：部分区域信号弱，临床科室无法流畅地使用无线医疗网络工作。由于无线信号弱，造成在信号覆盖不均衡的区域，用户可能会遇到信号弱的问题，这将导致无线信号无法正常传输，从而影响网络质量。</w:t>
      </w:r>
    </w:p>
    <w:p w14:paraId="463EF506">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覆盖不均：部分区域无法覆盖到无线网络，临床不能正常使用。由于无线网络覆盖范围的有限、信号干扰严重以及无线漫游效果不理想等问题，造成原有网络资源不能充分服务于现有医院相关业务。</w:t>
      </w:r>
    </w:p>
    <w:p w14:paraId="784AD04D">
      <w:pPr>
        <w:pStyle w:val="7"/>
        <w:spacing w:before="26" w:after="48" w:line="364" w:lineRule="auto"/>
        <w:ind w:right="384"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以上问题已经对临床的PDA移动查房等无线设备的正常使用造成了困扰，因此需要进行无线网络改造升级优化。</w:t>
      </w:r>
    </w:p>
    <w:p w14:paraId="6926141B">
      <w:pPr>
        <w:pStyle w:val="4"/>
        <w:spacing w:before="120" w:after="48"/>
        <w:rPr>
          <w:rFonts w:hint="eastAsia"/>
        </w:rPr>
      </w:pPr>
      <w:r>
        <w:rPr>
          <w:rFonts w:hint="eastAsia"/>
        </w:rPr>
        <w:t>覆盖范围清单</w:t>
      </w:r>
    </w:p>
    <w:p w14:paraId="74DE2CA4">
      <w:pPr>
        <w:pStyle w:val="7"/>
        <w:spacing w:before="150" w:after="48" w:line="364" w:lineRule="auto"/>
        <w:ind w:right="384"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 xml:space="preserve">本次无线信号覆盖区域已通过前期的现场环境勘察，具体点位覆盖需求如下： </w:t>
      </w:r>
    </w:p>
    <w:p w14:paraId="0A6391CF">
      <w:pPr>
        <w:pStyle w:val="7"/>
        <w:spacing w:after="48" w:line="360" w:lineRule="auto"/>
        <w:ind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天河院区需求数：</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7"/>
        <w:gridCol w:w="1477"/>
        <w:gridCol w:w="1033"/>
        <w:gridCol w:w="886"/>
        <w:gridCol w:w="885"/>
        <w:gridCol w:w="1064"/>
        <w:gridCol w:w="885"/>
      </w:tblGrid>
      <w:tr w14:paraId="5624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947" w:type="dxa"/>
            <w:vAlign w:val="center"/>
          </w:tcPr>
          <w:p w14:paraId="28DD59FD">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楼栋名称</w:t>
            </w:r>
          </w:p>
        </w:tc>
        <w:tc>
          <w:tcPr>
            <w:tcW w:w="1477" w:type="dxa"/>
            <w:vAlign w:val="center"/>
          </w:tcPr>
          <w:p w14:paraId="4ED203B2">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有线接入供电节点设备</w:t>
            </w:r>
          </w:p>
        </w:tc>
        <w:tc>
          <w:tcPr>
            <w:tcW w:w="1033" w:type="dxa"/>
            <w:vAlign w:val="center"/>
          </w:tcPr>
          <w:p w14:paraId="69E493C3">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高密AP</w:t>
            </w:r>
          </w:p>
        </w:tc>
        <w:tc>
          <w:tcPr>
            <w:tcW w:w="886" w:type="dxa"/>
            <w:vAlign w:val="center"/>
          </w:tcPr>
          <w:p w14:paraId="0105805A">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放装AP</w:t>
            </w:r>
          </w:p>
        </w:tc>
        <w:tc>
          <w:tcPr>
            <w:tcW w:w="885" w:type="dxa"/>
            <w:vAlign w:val="center"/>
          </w:tcPr>
          <w:p w14:paraId="4B19AE5F">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面板AP</w:t>
            </w:r>
          </w:p>
        </w:tc>
        <w:tc>
          <w:tcPr>
            <w:tcW w:w="1064" w:type="dxa"/>
            <w:vAlign w:val="center"/>
          </w:tcPr>
          <w:p w14:paraId="33435CC3">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WIFI7零漫游AP</w:t>
            </w:r>
          </w:p>
        </w:tc>
        <w:tc>
          <w:tcPr>
            <w:tcW w:w="885" w:type="dxa"/>
            <w:vAlign w:val="center"/>
          </w:tcPr>
          <w:p w14:paraId="3A4A7982">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天线单元</w:t>
            </w:r>
          </w:p>
        </w:tc>
      </w:tr>
      <w:tr w14:paraId="6771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7" w:type="dxa"/>
          </w:tcPr>
          <w:p w14:paraId="4AAFEF0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10 号楼（科学楼）</w:t>
            </w:r>
          </w:p>
        </w:tc>
        <w:tc>
          <w:tcPr>
            <w:tcW w:w="1477" w:type="dxa"/>
          </w:tcPr>
          <w:p w14:paraId="5A72070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w:t>
            </w:r>
          </w:p>
        </w:tc>
        <w:tc>
          <w:tcPr>
            <w:tcW w:w="1033" w:type="dxa"/>
          </w:tcPr>
          <w:p w14:paraId="6383B04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4E0EFB8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2FD4FC9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18EAA7FD">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25</w:t>
            </w:r>
          </w:p>
        </w:tc>
        <w:tc>
          <w:tcPr>
            <w:tcW w:w="885" w:type="dxa"/>
          </w:tcPr>
          <w:p w14:paraId="7D3B4FCD">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133</w:t>
            </w:r>
          </w:p>
        </w:tc>
      </w:tr>
      <w:tr w14:paraId="219C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7" w:type="dxa"/>
          </w:tcPr>
          <w:p w14:paraId="03E96CD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 号楼（门诊楼）</w:t>
            </w:r>
          </w:p>
        </w:tc>
        <w:tc>
          <w:tcPr>
            <w:tcW w:w="1477" w:type="dxa"/>
          </w:tcPr>
          <w:p w14:paraId="2D01E17B">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7</w:t>
            </w:r>
          </w:p>
        </w:tc>
        <w:tc>
          <w:tcPr>
            <w:tcW w:w="1033" w:type="dxa"/>
          </w:tcPr>
          <w:p w14:paraId="3C33EFF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15</w:t>
            </w:r>
          </w:p>
        </w:tc>
        <w:tc>
          <w:tcPr>
            <w:tcW w:w="886" w:type="dxa"/>
          </w:tcPr>
          <w:p w14:paraId="2F88DC9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w:t>
            </w:r>
          </w:p>
        </w:tc>
        <w:tc>
          <w:tcPr>
            <w:tcW w:w="885" w:type="dxa"/>
          </w:tcPr>
          <w:p w14:paraId="3083B09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11</w:t>
            </w:r>
          </w:p>
        </w:tc>
        <w:tc>
          <w:tcPr>
            <w:tcW w:w="1064" w:type="dxa"/>
          </w:tcPr>
          <w:p w14:paraId="4719CCD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60</w:t>
            </w:r>
          </w:p>
        </w:tc>
        <w:tc>
          <w:tcPr>
            <w:tcW w:w="885" w:type="dxa"/>
          </w:tcPr>
          <w:p w14:paraId="43D370D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369</w:t>
            </w:r>
          </w:p>
        </w:tc>
      </w:tr>
      <w:tr w14:paraId="48E9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00AA45D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 号楼（住院部 / 旧急诊）</w:t>
            </w:r>
          </w:p>
        </w:tc>
        <w:tc>
          <w:tcPr>
            <w:tcW w:w="1477" w:type="dxa"/>
          </w:tcPr>
          <w:p w14:paraId="1F46718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1033" w:type="dxa"/>
          </w:tcPr>
          <w:p w14:paraId="6C7EC7E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56C899B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68BCDB3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3032A47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21</w:t>
            </w:r>
          </w:p>
        </w:tc>
        <w:tc>
          <w:tcPr>
            <w:tcW w:w="885" w:type="dxa"/>
          </w:tcPr>
          <w:p w14:paraId="21DD7BF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120</w:t>
            </w:r>
          </w:p>
        </w:tc>
      </w:tr>
      <w:tr w14:paraId="5B7B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4A56D76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 号楼（综合大楼）</w:t>
            </w:r>
          </w:p>
        </w:tc>
        <w:tc>
          <w:tcPr>
            <w:tcW w:w="1477" w:type="dxa"/>
          </w:tcPr>
          <w:p w14:paraId="0092E9B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34</w:t>
            </w:r>
          </w:p>
        </w:tc>
        <w:tc>
          <w:tcPr>
            <w:tcW w:w="1033" w:type="dxa"/>
          </w:tcPr>
          <w:p w14:paraId="1F1C835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10</w:t>
            </w:r>
          </w:p>
        </w:tc>
        <w:tc>
          <w:tcPr>
            <w:tcW w:w="886" w:type="dxa"/>
          </w:tcPr>
          <w:p w14:paraId="23E6ADF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8</w:t>
            </w:r>
          </w:p>
        </w:tc>
        <w:tc>
          <w:tcPr>
            <w:tcW w:w="885" w:type="dxa"/>
          </w:tcPr>
          <w:p w14:paraId="63ACC58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1064" w:type="dxa"/>
          </w:tcPr>
          <w:p w14:paraId="762246E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122</w:t>
            </w:r>
          </w:p>
        </w:tc>
        <w:tc>
          <w:tcPr>
            <w:tcW w:w="885" w:type="dxa"/>
          </w:tcPr>
          <w:p w14:paraId="1C0734A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736</w:t>
            </w:r>
          </w:p>
        </w:tc>
      </w:tr>
      <w:tr w14:paraId="57D5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3C3EBB1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5 号楼（脑病中心）</w:t>
            </w:r>
          </w:p>
        </w:tc>
        <w:tc>
          <w:tcPr>
            <w:tcW w:w="1477" w:type="dxa"/>
          </w:tcPr>
          <w:p w14:paraId="4D9B2DE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1033" w:type="dxa"/>
          </w:tcPr>
          <w:p w14:paraId="553CCFA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886" w:type="dxa"/>
          </w:tcPr>
          <w:p w14:paraId="18F6561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3D517AD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79E22C5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8</w:t>
            </w:r>
          </w:p>
        </w:tc>
        <w:tc>
          <w:tcPr>
            <w:tcW w:w="885" w:type="dxa"/>
          </w:tcPr>
          <w:p w14:paraId="74CC2C8B">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44</w:t>
            </w:r>
          </w:p>
        </w:tc>
      </w:tr>
      <w:tr w14:paraId="4148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3EF3C8F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6 号楼（肝病大楼）</w:t>
            </w:r>
          </w:p>
        </w:tc>
        <w:tc>
          <w:tcPr>
            <w:tcW w:w="1477" w:type="dxa"/>
          </w:tcPr>
          <w:p w14:paraId="2970E95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20</w:t>
            </w:r>
          </w:p>
        </w:tc>
        <w:tc>
          <w:tcPr>
            <w:tcW w:w="1033" w:type="dxa"/>
          </w:tcPr>
          <w:p w14:paraId="6BB4B15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0E04C87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688BB0A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5206048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66</w:t>
            </w:r>
          </w:p>
        </w:tc>
        <w:tc>
          <w:tcPr>
            <w:tcW w:w="885" w:type="dxa"/>
          </w:tcPr>
          <w:p w14:paraId="4BE8E93D">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384</w:t>
            </w:r>
          </w:p>
        </w:tc>
      </w:tr>
      <w:tr w14:paraId="55EB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1CCCCFB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7 号楼（住院部）</w:t>
            </w:r>
          </w:p>
        </w:tc>
        <w:tc>
          <w:tcPr>
            <w:tcW w:w="1477" w:type="dxa"/>
          </w:tcPr>
          <w:p w14:paraId="78495CC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8</w:t>
            </w:r>
          </w:p>
        </w:tc>
        <w:tc>
          <w:tcPr>
            <w:tcW w:w="1033" w:type="dxa"/>
          </w:tcPr>
          <w:p w14:paraId="3178E1B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886" w:type="dxa"/>
          </w:tcPr>
          <w:p w14:paraId="0578BFF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046A2CD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78463AF1">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81</w:t>
            </w:r>
          </w:p>
        </w:tc>
        <w:tc>
          <w:tcPr>
            <w:tcW w:w="885" w:type="dxa"/>
          </w:tcPr>
          <w:p w14:paraId="39503AC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550</w:t>
            </w:r>
          </w:p>
        </w:tc>
      </w:tr>
      <w:tr w14:paraId="68E7C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417F161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8 号楼（泌尿外科）</w:t>
            </w:r>
          </w:p>
        </w:tc>
        <w:tc>
          <w:tcPr>
            <w:tcW w:w="1477" w:type="dxa"/>
          </w:tcPr>
          <w:p w14:paraId="437ED3F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w:t>
            </w:r>
          </w:p>
        </w:tc>
        <w:tc>
          <w:tcPr>
            <w:tcW w:w="1033" w:type="dxa"/>
          </w:tcPr>
          <w:p w14:paraId="73963DE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65D200A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44705EB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25ED531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14</w:t>
            </w:r>
          </w:p>
        </w:tc>
        <w:tc>
          <w:tcPr>
            <w:tcW w:w="885" w:type="dxa"/>
          </w:tcPr>
          <w:p w14:paraId="1C9A5CD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78</w:t>
            </w:r>
          </w:p>
        </w:tc>
      </w:tr>
      <w:tr w14:paraId="7B31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1E47A03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9 号楼（行政后勤楼）</w:t>
            </w:r>
          </w:p>
        </w:tc>
        <w:tc>
          <w:tcPr>
            <w:tcW w:w="1477" w:type="dxa"/>
          </w:tcPr>
          <w:p w14:paraId="3CDA63C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1033" w:type="dxa"/>
          </w:tcPr>
          <w:p w14:paraId="2133990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886" w:type="dxa"/>
          </w:tcPr>
          <w:p w14:paraId="5383389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885" w:type="dxa"/>
          </w:tcPr>
          <w:p w14:paraId="6C1E49B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60FF34B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399744A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r>
      <w:tr w14:paraId="0CD6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338EE54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后勤服务中心</w:t>
            </w:r>
          </w:p>
        </w:tc>
        <w:tc>
          <w:tcPr>
            <w:tcW w:w="1477" w:type="dxa"/>
          </w:tcPr>
          <w:p w14:paraId="0BFE9B4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1033" w:type="dxa"/>
          </w:tcPr>
          <w:p w14:paraId="4198AFE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19A08C4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3F32607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0AAB01C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w:t>
            </w:r>
          </w:p>
        </w:tc>
        <w:tc>
          <w:tcPr>
            <w:tcW w:w="885" w:type="dxa"/>
          </w:tcPr>
          <w:p w14:paraId="5D6F2B1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14</w:t>
            </w:r>
          </w:p>
        </w:tc>
      </w:tr>
      <w:tr w14:paraId="1A35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0AEC388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天娱广场</w:t>
            </w:r>
          </w:p>
        </w:tc>
        <w:tc>
          <w:tcPr>
            <w:tcW w:w="1477" w:type="dxa"/>
          </w:tcPr>
          <w:p w14:paraId="2341B07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6</w:t>
            </w:r>
          </w:p>
        </w:tc>
        <w:tc>
          <w:tcPr>
            <w:tcW w:w="1033" w:type="dxa"/>
          </w:tcPr>
          <w:p w14:paraId="2A1BB72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886" w:type="dxa"/>
          </w:tcPr>
          <w:p w14:paraId="044CFDB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18AD82E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5383F80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22</w:t>
            </w:r>
          </w:p>
        </w:tc>
        <w:tc>
          <w:tcPr>
            <w:tcW w:w="885" w:type="dxa"/>
          </w:tcPr>
          <w:p w14:paraId="08CF77D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137</w:t>
            </w:r>
          </w:p>
        </w:tc>
      </w:tr>
      <w:tr w14:paraId="7AB6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0B23229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科学楼对面</w:t>
            </w:r>
          </w:p>
        </w:tc>
        <w:tc>
          <w:tcPr>
            <w:tcW w:w="1477" w:type="dxa"/>
          </w:tcPr>
          <w:p w14:paraId="5DF29C3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1033" w:type="dxa"/>
          </w:tcPr>
          <w:p w14:paraId="3F5F23D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3FEF151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52083A31">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20AD3DC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885" w:type="dxa"/>
          </w:tcPr>
          <w:p w14:paraId="3128865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12</w:t>
            </w:r>
          </w:p>
        </w:tc>
      </w:tr>
      <w:tr w14:paraId="24CD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45533DFD">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精神科</w:t>
            </w:r>
          </w:p>
        </w:tc>
        <w:tc>
          <w:tcPr>
            <w:tcW w:w="1477" w:type="dxa"/>
          </w:tcPr>
          <w:p w14:paraId="257DE4F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1033" w:type="dxa"/>
          </w:tcPr>
          <w:p w14:paraId="69C560D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54222AF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3DD8464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2D0C591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8</w:t>
            </w:r>
          </w:p>
        </w:tc>
        <w:tc>
          <w:tcPr>
            <w:tcW w:w="885" w:type="dxa"/>
          </w:tcPr>
          <w:p w14:paraId="4DC1F47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52</w:t>
            </w:r>
          </w:p>
        </w:tc>
      </w:tr>
      <w:tr w14:paraId="1B7D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6AF5992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药厂</w:t>
            </w:r>
          </w:p>
        </w:tc>
        <w:tc>
          <w:tcPr>
            <w:tcW w:w="1477" w:type="dxa"/>
          </w:tcPr>
          <w:p w14:paraId="6B014E3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1033" w:type="dxa"/>
          </w:tcPr>
          <w:p w14:paraId="2C21DD0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2A2A5CE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363A8BD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7F1492D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7</w:t>
            </w:r>
          </w:p>
        </w:tc>
        <w:tc>
          <w:tcPr>
            <w:tcW w:w="885" w:type="dxa"/>
          </w:tcPr>
          <w:p w14:paraId="5352687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41</w:t>
            </w:r>
          </w:p>
        </w:tc>
      </w:tr>
      <w:tr w14:paraId="08DEFF05">
        <w:tblPrEx>
          <w:tblCellMar>
            <w:top w:w="0" w:type="dxa"/>
            <w:left w:w="108" w:type="dxa"/>
            <w:bottom w:w="0" w:type="dxa"/>
            <w:right w:w="108" w:type="dxa"/>
          </w:tblCellMar>
        </w:tblPrEx>
        <w:trPr>
          <w:trHeight w:val="468" w:hRule="atLeast"/>
          <w:jc w:val="center"/>
        </w:trPr>
        <w:tc>
          <w:tcPr>
            <w:tcW w:w="2947" w:type="dxa"/>
          </w:tcPr>
          <w:p w14:paraId="42507A4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远洋楼</w:t>
            </w:r>
          </w:p>
        </w:tc>
        <w:tc>
          <w:tcPr>
            <w:tcW w:w="1477" w:type="dxa"/>
          </w:tcPr>
          <w:p w14:paraId="246EB65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w:t>
            </w:r>
          </w:p>
        </w:tc>
        <w:tc>
          <w:tcPr>
            <w:tcW w:w="1033" w:type="dxa"/>
          </w:tcPr>
          <w:p w14:paraId="4656710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886" w:type="dxa"/>
          </w:tcPr>
          <w:p w14:paraId="7D3A638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4408C09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1ED0D0E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24</w:t>
            </w:r>
          </w:p>
        </w:tc>
        <w:tc>
          <w:tcPr>
            <w:tcW w:w="885" w:type="dxa"/>
          </w:tcPr>
          <w:p w14:paraId="4BEAC6F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131</w:t>
            </w:r>
          </w:p>
        </w:tc>
      </w:tr>
      <w:tr w14:paraId="440A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947" w:type="dxa"/>
          </w:tcPr>
          <w:p w14:paraId="6DEA12C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门诊楼后座</w:t>
            </w:r>
          </w:p>
        </w:tc>
        <w:tc>
          <w:tcPr>
            <w:tcW w:w="1477" w:type="dxa"/>
          </w:tcPr>
          <w:p w14:paraId="47DEF2F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33" w:type="dxa"/>
          </w:tcPr>
          <w:p w14:paraId="4F1CFBF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6" w:type="dxa"/>
          </w:tcPr>
          <w:p w14:paraId="25FB696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885" w:type="dxa"/>
          </w:tcPr>
          <w:p w14:paraId="39078E7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064" w:type="dxa"/>
          </w:tcPr>
          <w:p w14:paraId="71F1B40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12</w:t>
            </w:r>
          </w:p>
        </w:tc>
        <w:tc>
          <w:tcPr>
            <w:tcW w:w="885" w:type="dxa"/>
          </w:tcPr>
          <w:p w14:paraId="6094B5AD">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56</w:t>
            </w:r>
          </w:p>
        </w:tc>
      </w:tr>
      <w:tr w14:paraId="5E43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47" w:type="dxa"/>
          </w:tcPr>
          <w:p w14:paraId="682E811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总计</w:t>
            </w:r>
          </w:p>
        </w:tc>
        <w:tc>
          <w:tcPr>
            <w:tcW w:w="1477" w:type="dxa"/>
          </w:tcPr>
          <w:p w14:paraId="5B1C4BC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99</w:t>
            </w:r>
          </w:p>
        </w:tc>
        <w:tc>
          <w:tcPr>
            <w:tcW w:w="1033" w:type="dxa"/>
          </w:tcPr>
          <w:p w14:paraId="67937F4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33</w:t>
            </w:r>
          </w:p>
        </w:tc>
        <w:tc>
          <w:tcPr>
            <w:tcW w:w="886" w:type="dxa"/>
          </w:tcPr>
          <w:p w14:paraId="2087E32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13</w:t>
            </w:r>
          </w:p>
        </w:tc>
        <w:tc>
          <w:tcPr>
            <w:tcW w:w="885" w:type="dxa"/>
          </w:tcPr>
          <w:p w14:paraId="18210BE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12</w:t>
            </w:r>
          </w:p>
        </w:tc>
        <w:tc>
          <w:tcPr>
            <w:tcW w:w="1064" w:type="dxa"/>
          </w:tcPr>
          <w:p w14:paraId="46D28F7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475</w:t>
            </w:r>
          </w:p>
        </w:tc>
        <w:tc>
          <w:tcPr>
            <w:tcW w:w="885" w:type="dxa"/>
          </w:tcPr>
          <w:p w14:paraId="16D7577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2857</w:t>
            </w:r>
          </w:p>
        </w:tc>
      </w:tr>
    </w:tbl>
    <w:p w14:paraId="5F56804D">
      <w:pPr>
        <w:pStyle w:val="7"/>
        <w:spacing w:before="150" w:after="48" w:line="364" w:lineRule="auto"/>
        <w:ind w:right="384" w:firstLine="420" w:firstLineChars="200"/>
        <w:rPr>
          <w:rFonts w:hint="eastAsia" w:ascii="宋体" w:hAnsi="宋体" w:eastAsia="宋体" w:cs="宋体"/>
        </w:rPr>
      </w:pPr>
      <w:r>
        <w:rPr>
          <w:rFonts w:hint="eastAsia" w:ascii="宋体" w:hAnsi="宋体" w:eastAsia="宋体" w:cs="宋体"/>
        </w:rPr>
        <w:t>岭南院区需求数：</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1845"/>
        <w:gridCol w:w="1197"/>
        <w:gridCol w:w="1184"/>
        <w:gridCol w:w="1147"/>
        <w:gridCol w:w="1361"/>
        <w:gridCol w:w="998"/>
      </w:tblGrid>
      <w:tr w14:paraId="47CB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25" w:type="dxa"/>
            <w:vAlign w:val="center"/>
          </w:tcPr>
          <w:p w14:paraId="1484F0DA">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楼栋名称</w:t>
            </w:r>
          </w:p>
        </w:tc>
        <w:tc>
          <w:tcPr>
            <w:tcW w:w="1845" w:type="dxa"/>
            <w:vAlign w:val="center"/>
          </w:tcPr>
          <w:p w14:paraId="4B189DBB">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有线接入供电节点设备</w:t>
            </w:r>
          </w:p>
        </w:tc>
        <w:tc>
          <w:tcPr>
            <w:tcW w:w="1197" w:type="dxa"/>
            <w:vAlign w:val="center"/>
          </w:tcPr>
          <w:p w14:paraId="0A67F42A">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高密AP</w:t>
            </w:r>
          </w:p>
        </w:tc>
        <w:tc>
          <w:tcPr>
            <w:tcW w:w="1184" w:type="dxa"/>
            <w:vAlign w:val="center"/>
          </w:tcPr>
          <w:p w14:paraId="510EB1F1">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放装AP</w:t>
            </w:r>
          </w:p>
        </w:tc>
        <w:tc>
          <w:tcPr>
            <w:tcW w:w="1147" w:type="dxa"/>
            <w:vAlign w:val="center"/>
          </w:tcPr>
          <w:p w14:paraId="3BCD5DB7">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面板AP</w:t>
            </w:r>
          </w:p>
        </w:tc>
        <w:tc>
          <w:tcPr>
            <w:tcW w:w="1361" w:type="dxa"/>
            <w:vAlign w:val="center"/>
          </w:tcPr>
          <w:p w14:paraId="5091164A">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WIFI7零漫游AP</w:t>
            </w:r>
          </w:p>
        </w:tc>
        <w:tc>
          <w:tcPr>
            <w:tcW w:w="998" w:type="dxa"/>
            <w:vAlign w:val="center"/>
          </w:tcPr>
          <w:p w14:paraId="6910E26E">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天线单元</w:t>
            </w:r>
          </w:p>
        </w:tc>
      </w:tr>
      <w:tr w14:paraId="14A5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25" w:type="dxa"/>
          </w:tcPr>
          <w:p w14:paraId="6849BB0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门诊楼</w:t>
            </w:r>
          </w:p>
        </w:tc>
        <w:tc>
          <w:tcPr>
            <w:tcW w:w="1845" w:type="dxa"/>
          </w:tcPr>
          <w:p w14:paraId="6F9A0BF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10</w:t>
            </w:r>
          </w:p>
        </w:tc>
        <w:tc>
          <w:tcPr>
            <w:tcW w:w="1197" w:type="dxa"/>
          </w:tcPr>
          <w:p w14:paraId="03C9AA3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w:t>
            </w:r>
          </w:p>
        </w:tc>
        <w:tc>
          <w:tcPr>
            <w:tcW w:w="1184" w:type="dxa"/>
          </w:tcPr>
          <w:p w14:paraId="6A93F5B1">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47" w:type="dxa"/>
          </w:tcPr>
          <w:p w14:paraId="49456ED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361" w:type="dxa"/>
          </w:tcPr>
          <w:p w14:paraId="07BA7C1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39</w:t>
            </w:r>
          </w:p>
        </w:tc>
        <w:tc>
          <w:tcPr>
            <w:tcW w:w="998" w:type="dxa"/>
          </w:tcPr>
          <w:p w14:paraId="1837182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256</w:t>
            </w:r>
          </w:p>
        </w:tc>
      </w:tr>
      <w:tr w14:paraId="2C10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25" w:type="dxa"/>
          </w:tcPr>
          <w:p w14:paraId="2F880D9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医技楼</w:t>
            </w:r>
          </w:p>
        </w:tc>
        <w:tc>
          <w:tcPr>
            <w:tcW w:w="1845" w:type="dxa"/>
          </w:tcPr>
          <w:p w14:paraId="117F273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10</w:t>
            </w:r>
          </w:p>
        </w:tc>
        <w:tc>
          <w:tcPr>
            <w:tcW w:w="1197" w:type="dxa"/>
          </w:tcPr>
          <w:p w14:paraId="5610210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84" w:type="dxa"/>
          </w:tcPr>
          <w:p w14:paraId="43CFDE4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47" w:type="dxa"/>
          </w:tcPr>
          <w:p w14:paraId="188F811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361" w:type="dxa"/>
          </w:tcPr>
          <w:p w14:paraId="54574E41">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50</w:t>
            </w:r>
          </w:p>
        </w:tc>
        <w:tc>
          <w:tcPr>
            <w:tcW w:w="998" w:type="dxa"/>
          </w:tcPr>
          <w:p w14:paraId="3461EEB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284</w:t>
            </w:r>
          </w:p>
        </w:tc>
      </w:tr>
      <w:tr w14:paraId="48A96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25" w:type="dxa"/>
          </w:tcPr>
          <w:p w14:paraId="033FA91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住院楼</w:t>
            </w:r>
          </w:p>
        </w:tc>
        <w:tc>
          <w:tcPr>
            <w:tcW w:w="1845" w:type="dxa"/>
          </w:tcPr>
          <w:p w14:paraId="3C46D25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12</w:t>
            </w:r>
          </w:p>
        </w:tc>
        <w:tc>
          <w:tcPr>
            <w:tcW w:w="1197" w:type="dxa"/>
          </w:tcPr>
          <w:p w14:paraId="03FF23A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5</w:t>
            </w:r>
          </w:p>
        </w:tc>
        <w:tc>
          <w:tcPr>
            <w:tcW w:w="1184" w:type="dxa"/>
          </w:tcPr>
          <w:p w14:paraId="6E0881CE">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47" w:type="dxa"/>
          </w:tcPr>
          <w:p w14:paraId="5768B37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361" w:type="dxa"/>
          </w:tcPr>
          <w:p w14:paraId="66BAEC1F">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73</w:t>
            </w:r>
          </w:p>
        </w:tc>
        <w:tc>
          <w:tcPr>
            <w:tcW w:w="998" w:type="dxa"/>
          </w:tcPr>
          <w:p w14:paraId="2C014B1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468</w:t>
            </w:r>
          </w:p>
        </w:tc>
      </w:tr>
      <w:tr w14:paraId="669B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25" w:type="dxa"/>
          </w:tcPr>
          <w:p w14:paraId="266A410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综合楼</w:t>
            </w:r>
          </w:p>
        </w:tc>
        <w:tc>
          <w:tcPr>
            <w:tcW w:w="1845" w:type="dxa"/>
          </w:tcPr>
          <w:p w14:paraId="554C6E4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6</w:t>
            </w:r>
          </w:p>
        </w:tc>
        <w:tc>
          <w:tcPr>
            <w:tcW w:w="1197" w:type="dxa"/>
          </w:tcPr>
          <w:p w14:paraId="7030368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1184" w:type="dxa"/>
          </w:tcPr>
          <w:p w14:paraId="04A86F27">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47" w:type="dxa"/>
          </w:tcPr>
          <w:p w14:paraId="4CBCCEC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361" w:type="dxa"/>
          </w:tcPr>
          <w:p w14:paraId="0254CD09">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26</w:t>
            </w:r>
          </w:p>
        </w:tc>
        <w:tc>
          <w:tcPr>
            <w:tcW w:w="998" w:type="dxa"/>
          </w:tcPr>
          <w:p w14:paraId="0A4A7C9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149</w:t>
            </w:r>
          </w:p>
        </w:tc>
      </w:tr>
      <w:tr w14:paraId="6B70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25" w:type="dxa"/>
          </w:tcPr>
          <w:p w14:paraId="6608332B">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感染楼</w:t>
            </w:r>
          </w:p>
        </w:tc>
        <w:tc>
          <w:tcPr>
            <w:tcW w:w="1845" w:type="dxa"/>
          </w:tcPr>
          <w:p w14:paraId="639FF3E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2</w:t>
            </w:r>
          </w:p>
        </w:tc>
        <w:tc>
          <w:tcPr>
            <w:tcW w:w="1197" w:type="dxa"/>
          </w:tcPr>
          <w:p w14:paraId="0A5BD0DD">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84" w:type="dxa"/>
          </w:tcPr>
          <w:p w14:paraId="7F6864C1">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47" w:type="dxa"/>
          </w:tcPr>
          <w:p w14:paraId="62EE425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361" w:type="dxa"/>
          </w:tcPr>
          <w:p w14:paraId="6973D1C1">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6</w:t>
            </w:r>
          </w:p>
        </w:tc>
        <w:tc>
          <w:tcPr>
            <w:tcW w:w="998" w:type="dxa"/>
          </w:tcPr>
          <w:p w14:paraId="1B42C44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37</w:t>
            </w:r>
          </w:p>
        </w:tc>
      </w:tr>
      <w:tr w14:paraId="2057B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5" w:type="dxa"/>
          </w:tcPr>
          <w:p w14:paraId="44E6BF32">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总计</w:t>
            </w:r>
          </w:p>
        </w:tc>
        <w:tc>
          <w:tcPr>
            <w:tcW w:w="1845" w:type="dxa"/>
          </w:tcPr>
          <w:p w14:paraId="6341B93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40</w:t>
            </w:r>
          </w:p>
        </w:tc>
        <w:tc>
          <w:tcPr>
            <w:tcW w:w="1197" w:type="dxa"/>
          </w:tcPr>
          <w:p w14:paraId="6B6AEA2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10</w:t>
            </w:r>
          </w:p>
        </w:tc>
        <w:tc>
          <w:tcPr>
            <w:tcW w:w="1184" w:type="dxa"/>
          </w:tcPr>
          <w:p w14:paraId="7FA5304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147" w:type="dxa"/>
          </w:tcPr>
          <w:p w14:paraId="7F3A25D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0</w:t>
            </w:r>
          </w:p>
        </w:tc>
        <w:tc>
          <w:tcPr>
            <w:tcW w:w="1361" w:type="dxa"/>
          </w:tcPr>
          <w:p w14:paraId="74CA109A">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194</w:t>
            </w:r>
          </w:p>
        </w:tc>
        <w:tc>
          <w:tcPr>
            <w:tcW w:w="998" w:type="dxa"/>
          </w:tcPr>
          <w:p w14:paraId="06EBD504">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1194</w:t>
            </w:r>
          </w:p>
        </w:tc>
      </w:tr>
    </w:tbl>
    <w:p w14:paraId="5F480EAA">
      <w:pPr>
        <w:pStyle w:val="7"/>
        <w:spacing w:after="48" w:line="360" w:lineRule="auto"/>
        <w:rPr>
          <w:rFonts w:hint="eastAsia"/>
          <w:spacing w:val="-1"/>
        </w:rPr>
      </w:pPr>
    </w:p>
    <w:tbl>
      <w:tblPr>
        <w:tblStyle w:val="31"/>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1313"/>
        <w:gridCol w:w="1523"/>
        <w:gridCol w:w="1094"/>
        <w:gridCol w:w="957"/>
        <w:gridCol w:w="957"/>
        <w:gridCol w:w="1367"/>
        <w:gridCol w:w="1155"/>
      </w:tblGrid>
      <w:tr w14:paraId="6D563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7" w:hRule="atLeast"/>
          <w:jc w:val="center"/>
        </w:trPr>
        <w:tc>
          <w:tcPr>
            <w:tcW w:w="770" w:type="dxa"/>
            <w:tcMar>
              <w:top w:w="12" w:type="dxa"/>
              <w:left w:w="12" w:type="dxa"/>
              <w:bottom w:w="0" w:type="dxa"/>
              <w:right w:w="12" w:type="dxa"/>
            </w:tcMar>
            <w:vAlign w:val="center"/>
          </w:tcPr>
          <w:p w14:paraId="6A678146">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区域</w:t>
            </w:r>
          </w:p>
        </w:tc>
        <w:tc>
          <w:tcPr>
            <w:tcW w:w="1313" w:type="dxa"/>
            <w:tcMar>
              <w:top w:w="12" w:type="dxa"/>
              <w:left w:w="12" w:type="dxa"/>
              <w:bottom w:w="0" w:type="dxa"/>
              <w:right w:w="12" w:type="dxa"/>
            </w:tcMar>
            <w:vAlign w:val="center"/>
          </w:tcPr>
          <w:p w14:paraId="1FD73B64">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外网无线控制器</w:t>
            </w:r>
          </w:p>
        </w:tc>
        <w:tc>
          <w:tcPr>
            <w:tcW w:w="1523" w:type="dxa"/>
            <w:tcMar>
              <w:top w:w="12" w:type="dxa"/>
              <w:left w:w="12" w:type="dxa"/>
              <w:bottom w:w="0" w:type="dxa"/>
              <w:right w:w="12" w:type="dxa"/>
            </w:tcMar>
            <w:vAlign w:val="center"/>
          </w:tcPr>
          <w:p w14:paraId="1F0E2074">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内网无线控制器license</w:t>
            </w:r>
          </w:p>
        </w:tc>
        <w:tc>
          <w:tcPr>
            <w:tcW w:w="1094" w:type="dxa"/>
            <w:tcMar>
              <w:top w:w="12" w:type="dxa"/>
              <w:left w:w="12" w:type="dxa"/>
              <w:bottom w:w="0" w:type="dxa"/>
              <w:right w:w="12" w:type="dxa"/>
            </w:tcMar>
            <w:vAlign w:val="center"/>
          </w:tcPr>
          <w:p w14:paraId="7BFFD3A9">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外网出口防火墙</w:t>
            </w:r>
          </w:p>
        </w:tc>
        <w:tc>
          <w:tcPr>
            <w:tcW w:w="957" w:type="dxa"/>
            <w:vAlign w:val="center"/>
          </w:tcPr>
          <w:p w14:paraId="2067EC36">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上网行为管理</w:t>
            </w:r>
          </w:p>
        </w:tc>
        <w:tc>
          <w:tcPr>
            <w:tcW w:w="957" w:type="dxa"/>
            <w:tcMar>
              <w:top w:w="12" w:type="dxa"/>
              <w:left w:w="12" w:type="dxa"/>
              <w:bottom w:w="0" w:type="dxa"/>
              <w:right w:w="12" w:type="dxa"/>
            </w:tcMar>
            <w:vAlign w:val="center"/>
          </w:tcPr>
          <w:p w14:paraId="4DDDAA29">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万兆多模光模块</w:t>
            </w:r>
          </w:p>
        </w:tc>
        <w:tc>
          <w:tcPr>
            <w:tcW w:w="1367" w:type="dxa"/>
            <w:vAlign w:val="center"/>
          </w:tcPr>
          <w:p w14:paraId="4BD5B8DE">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网管平台扩容</w:t>
            </w:r>
          </w:p>
        </w:tc>
        <w:tc>
          <w:tcPr>
            <w:tcW w:w="1155" w:type="dxa"/>
            <w:vAlign w:val="center"/>
          </w:tcPr>
          <w:p w14:paraId="6121EB8C">
            <w:pPr>
              <w:pStyle w:val="7"/>
              <w:spacing w:after="48" w:line="360" w:lineRule="auto"/>
              <w:jc w:val="center"/>
              <w:rPr>
                <w:rFonts w:hint="eastAsia" w:ascii="宋体" w:hAnsi="宋体" w:eastAsia="宋体" w:cs="宋体"/>
                <w:b/>
                <w:bCs/>
                <w:spacing w:val="-1"/>
              </w:rPr>
            </w:pPr>
            <w:r>
              <w:rPr>
                <w:rFonts w:hint="eastAsia" w:ascii="宋体" w:hAnsi="宋体" w:eastAsia="宋体" w:cs="宋体"/>
                <w:b/>
                <w:bCs/>
                <w:spacing w:val="-1"/>
              </w:rPr>
              <w:t>网络全量大数据日志审计</w:t>
            </w:r>
          </w:p>
        </w:tc>
      </w:tr>
      <w:tr w14:paraId="1588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770" w:type="dxa"/>
            <w:tcMar>
              <w:top w:w="12" w:type="dxa"/>
              <w:left w:w="12" w:type="dxa"/>
              <w:bottom w:w="0" w:type="dxa"/>
              <w:right w:w="12" w:type="dxa"/>
            </w:tcMar>
            <w:vAlign w:val="center"/>
          </w:tcPr>
          <w:p w14:paraId="2093F9FC">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天河</w:t>
            </w:r>
          </w:p>
        </w:tc>
        <w:tc>
          <w:tcPr>
            <w:tcW w:w="1313" w:type="dxa"/>
            <w:tcMar>
              <w:top w:w="12" w:type="dxa"/>
              <w:left w:w="12" w:type="dxa"/>
              <w:bottom w:w="0" w:type="dxa"/>
              <w:right w:w="12" w:type="dxa"/>
            </w:tcMar>
            <w:vAlign w:val="center"/>
          </w:tcPr>
          <w:p w14:paraId="67E9F683">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1523" w:type="dxa"/>
            <w:tcMar>
              <w:top w:w="12" w:type="dxa"/>
              <w:left w:w="12" w:type="dxa"/>
              <w:bottom w:w="0" w:type="dxa"/>
              <w:right w:w="12" w:type="dxa"/>
            </w:tcMar>
            <w:vAlign w:val="center"/>
          </w:tcPr>
          <w:p w14:paraId="15A2E1C0">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1094" w:type="dxa"/>
            <w:tcMar>
              <w:top w:w="12" w:type="dxa"/>
              <w:left w:w="12" w:type="dxa"/>
              <w:bottom w:w="0" w:type="dxa"/>
              <w:right w:w="12" w:type="dxa"/>
            </w:tcMar>
            <w:vAlign w:val="center"/>
          </w:tcPr>
          <w:p w14:paraId="24BB3448">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957" w:type="dxa"/>
          </w:tcPr>
          <w:p w14:paraId="3CD1641B">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957" w:type="dxa"/>
            <w:tcMar>
              <w:top w:w="12" w:type="dxa"/>
              <w:left w:w="12" w:type="dxa"/>
              <w:bottom w:w="0" w:type="dxa"/>
              <w:right w:w="12" w:type="dxa"/>
            </w:tcMar>
            <w:vAlign w:val="center"/>
          </w:tcPr>
          <w:p w14:paraId="47FA3141">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556</w:t>
            </w:r>
          </w:p>
        </w:tc>
        <w:tc>
          <w:tcPr>
            <w:tcW w:w="1367" w:type="dxa"/>
          </w:tcPr>
          <w:p w14:paraId="64407576">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c>
          <w:tcPr>
            <w:tcW w:w="1155" w:type="dxa"/>
          </w:tcPr>
          <w:p w14:paraId="17E70A75">
            <w:pPr>
              <w:pStyle w:val="7"/>
              <w:spacing w:after="48" w:line="360" w:lineRule="auto"/>
              <w:jc w:val="center"/>
              <w:rPr>
                <w:rFonts w:hint="eastAsia" w:ascii="宋体" w:hAnsi="宋体" w:eastAsia="宋体" w:cs="宋体"/>
                <w:spacing w:val="-1"/>
              </w:rPr>
            </w:pPr>
            <w:r>
              <w:rPr>
                <w:rFonts w:hint="eastAsia" w:ascii="宋体" w:hAnsi="宋体" w:eastAsia="宋体" w:cs="宋体"/>
                <w:spacing w:val="-1"/>
              </w:rPr>
              <w:t>1</w:t>
            </w:r>
          </w:p>
        </w:tc>
      </w:tr>
    </w:tbl>
    <w:p w14:paraId="4230EFE5">
      <w:pPr>
        <w:pStyle w:val="7"/>
        <w:spacing w:after="48" w:line="360" w:lineRule="auto"/>
        <w:rPr>
          <w:rFonts w:hint="eastAsia"/>
          <w:spacing w:val="-1"/>
        </w:rPr>
      </w:pPr>
    </w:p>
    <w:p w14:paraId="6A6FF629">
      <w:pPr>
        <w:pStyle w:val="7"/>
        <w:spacing w:after="48" w:line="360" w:lineRule="auto"/>
        <w:ind w:firstLine="476" w:firstLineChars="200"/>
        <w:rPr>
          <w:rFonts w:hint="eastAsia" w:ascii="宋体" w:hAnsi="宋体" w:eastAsia="宋体" w:cs="宋体"/>
          <w:spacing w:val="-1"/>
          <w:sz w:val="24"/>
          <w:szCs w:val="24"/>
        </w:rPr>
      </w:pPr>
      <w:r>
        <w:rPr>
          <w:rFonts w:hint="eastAsia" w:ascii="宋体" w:hAnsi="宋体" w:eastAsia="宋体" w:cs="宋体"/>
          <w:spacing w:val="-1"/>
          <w:sz w:val="24"/>
          <w:szCs w:val="24"/>
        </w:rPr>
        <w:t>调研整体清单包含10%备品备件:</w:t>
      </w:r>
    </w:p>
    <w:p w14:paraId="64437828">
      <w:pPr>
        <w:pStyle w:val="7"/>
        <w:spacing w:after="48" w:line="360" w:lineRule="auto"/>
        <w:ind w:firstLine="480" w:firstLineChars="200"/>
        <w:rPr>
          <w:rFonts w:hint="eastAsia" w:ascii="宋体" w:hAnsi="宋体" w:eastAsia="宋体" w:cs="宋体"/>
          <w:spacing w:val="-1"/>
          <w:sz w:val="24"/>
          <w:szCs w:val="24"/>
        </w:rPr>
      </w:pPr>
      <w:r>
        <w:rPr>
          <w:rFonts w:hint="eastAsia" w:ascii="宋体" w:hAnsi="宋体" w:eastAsia="宋体" w:cs="宋体"/>
          <w:sz w:val="24"/>
          <w:szCs w:val="24"/>
          <w:lang w:eastAsia="zh-CN"/>
        </w:rPr>
        <w:t>有线接入供电节点设备</w:t>
      </w:r>
      <w:r>
        <w:rPr>
          <w:rFonts w:hint="eastAsia" w:ascii="宋体" w:hAnsi="宋体" w:eastAsia="宋体" w:cs="宋体"/>
          <w:sz w:val="24"/>
          <w:szCs w:val="24"/>
        </w:rPr>
        <w:t>139台、高密AP 48台、 放装AP 15台、面板AP 14台、WIFI7零漫游AP 736台、 天线单元 4457台、无线控制器 1台、出口防火墙1台、上网行为管理1台、内网AC license 1套、万兆多模光模块1套、配套馈线1套、网管平台扩容1套、网络全量大数据日志审计1台。</w:t>
      </w:r>
    </w:p>
    <w:p w14:paraId="0B657AA4">
      <w:pPr>
        <w:pStyle w:val="4"/>
        <w:tabs>
          <w:tab w:val="clear" w:pos="312"/>
        </w:tabs>
        <w:spacing w:before="120" w:after="48"/>
        <w:rPr>
          <w:rFonts w:hint="eastAsia"/>
        </w:rPr>
      </w:pPr>
      <w:r>
        <w:rPr>
          <w:rFonts w:hint="eastAsia"/>
        </w:rPr>
        <w:t>无线安全需求</w:t>
      </w:r>
    </w:p>
    <w:p w14:paraId="4F1E8C7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构建物理隔离与逻辑隔离相结合的双重防护机制，实现医疗业务网与外部网络的彻底隔离，从底层架构上规避外网入侵、数据外泄等风险；物联网设备专用网络单独规划独立通信频段及专属 VLAN，与院内其他网络进行严格的网段隔离，确保生命体征监测等核心物联网数据的传输安全、稳定且不受干扰。</w:t>
      </w:r>
    </w:p>
    <w:p w14:paraId="61FF957C">
      <w:pPr>
        <w:pStyle w:val="3"/>
        <w:spacing w:before="120" w:after="48"/>
        <w:rPr>
          <w:rFonts w:hint="eastAsia"/>
        </w:rPr>
      </w:pPr>
      <w:r>
        <w:rPr>
          <w:rFonts w:hint="eastAsia"/>
        </w:rPr>
        <w:t>信息化运维服务需求</w:t>
      </w:r>
    </w:p>
    <w:p w14:paraId="2516913D">
      <w:pPr>
        <w:pStyle w:val="4"/>
        <w:spacing w:before="120" w:after="48"/>
        <w:rPr>
          <w:rFonts w:hint="eastAsia"/>
        </w:rPr>
      </w:pPr>
      <w:r>
        <w:rPr>
          <w:rFonts w:hint="eastAsia"/>
        </w:rPr>
        <w:t>院内机房服务器存储设备运维需求</w:t>
      </w:r>
    </w:p>
    <w:p w14:paraId="6DCE86CE">
      <w:pPr>
        <w:pStyle w:val="5"/>
        <w:numPr>
          <w:ilvl w:val="0"/>
          <w:numId w:val="2"/>
        </w:numPr>
        <w:spacing w:before="120" w:after="48" w:line="240" w:lineRule="auto"/>
        <w:ind w:firstLine="482" w:firstLineChars="200"/>
        <w:rPr>
          <w:rFonts w:ascii="Cambria" w:hAnsi="Cambria" w:eastAsia="宋体" w:cs="宋体"/>
          <w:sz w:val="24"/>
          <w:szCs w:val="24"/>
        </w:rPr>
      </w:pPr>
      <w:r>
        <w:rPr>
          <w:rFonts w:hint="eastAsia" w:ascii="Cambria" w:hAnsi="Cambria" w:eastAsia="宋体" w:cs="宋体"/>
          <w:sz w:val="24"/>
          <w:szCs w:val="24"/>
        </w:rPr>
        <w:t>服务目标</w:t>
      </w:r>
    </w:p>
    <w:p w14:paraId="27168F23">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1.稳定性保障：确保服务器存储设备全年无重大故障停机</w:t>
      </w:r>
      <w:r>
        <w:rPr>
          <w:rFonts w:hint="eastAsia" w:cs="宋体"/>
          <w:sz w:val="24"/>
        </w:rPr>
        <w:t>。</w:t>
      </w:r>
    </w:p>
    <w:p w14:paraId="277E06C3">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2.数据安全性保障：防范数据丢失、泄露、篡改，确保医疗数据（患者信息、诊疗记录等）的完整性、保密性和可用性，符合《医疗纠纷预防和处理条例》《网络安全法》等相关法律法规要求。</w:t>
      </w:r>
    </w:p>
    <w:p w14:paraId="28D62089">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3.性能优化保障：定期对服务器存储设备进行性能监测与优化，确保设备资源利用率合理（CPU利用率峰值不超过85%，内存利用率峰值不超过80%，存储使用率不超过80%），支撑核心业务系统高效响应。</w:t>
      </w:r>
    </w:p>
    <w:p w14:paraId="39AAFC5D">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4.合规性保障：运维服务全过程符合医院信息安全管理规范及医疗行业相关合规要求，留存完整的运维记录，确保可追溯。</w:t>
      </w:r>
    </w:p>
    <w:p w14:paraId="6FA05865">
      <w:pPr>
        <w:pStyle w:val="5"/>
        <w:numPr>
          <w:ilvl w:val="0"/>
          <w:numId w:val="2"/>
        </w:numPr>
        <w:spacing w:before="120" w:after="48" w:line="240" w:lineRule="auto"/>
        <w:ind w:firstLine="482" w:firstLineChars="200"/>
        <w:rPr>
          <w:rFonts w:ascii="Cambria" w:hAnsi="Cambria" w:eastAsia="宋体" w:cs="宋体"/>
          <w:sz w:val="24"/>
          <w:szCs w:val="24"/>
        </w:rPr>
      </w:pPr>
      <w:r>
        <w:rPr>
          <w:rFonts w:hint="eastAsia" w:ascii="Cambria" w:hAnsi="Cambria" w:eastAsia="宋体" w:cs="宋体"/>
          <w:sz w:val="24"/>
          <w:szCs w:val="24"/>
        </w:rPr>
        <w:t>服务范围</w:t>
      </w:r>
    </w:p>
    <w:p w14:paraId="756C0802">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本运维服务覆盖医院所有服务器存储相关设备及配套组件，具体包括但不限于：</w:t>
      </w:r>
    </w:p>
    <w:p w14:paraId="4C7C3587">
      <w:pPr>
        <w:numPr>
          <w:ilvl w:val="0"/>
          <w:numId w:val="3"/>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服务器设备：各类应用服务器、数据库服务器、文件服务器、备份服务器、虚拟化服务器等。</w:t>
      </w:r>
    </w:p>
    <w:p w14:paraId="541E5F2C">
      <w:pPr>
        <w:numPr>
          <w:ilvl w:val="0"/>
          <w:numId w:val="3"/>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存储设备：磁盘阵列、SAN存储、NAS存储、分布式存储等，以及存储控制器、硬盘、缓存模块、光纤交换机等配套组件。</w:t>
      </w:r>
    </w:p>
    <w:p w14:paraId="2C3600BD">
      <w:pPr>
        <w:numPr>
          <w:ilvl w:val="0"/>
          <w:numId w:val="3"/>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配套软件：服务器操作系统（Windows Server、Linux等）、存储管理软件、备份软件、虚拟化软件（如VMware、Hyper-V等）及相关驱动程序、补丁程序。</w:t>
      </w:r>
    </w:p>
    <w:p w14:paraId="2EC71FC3">
      <w:pPr>
        <w:numPr>
          <w:ilvl w:val="0"/>
          <w:numId w:val="3"/>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数据相关：服务器存储设备中的数据备份、恢复、迁移，数据碎片整理、存储容量规划等。</w:t>
      </w:r>
    </w:p>
    <w:p w14:paraId="281A5229">
      <w:pPr>
        <w:pStyle w:val="5"/>
        <w:numPr>
          <w:ilvl w:val="0"/>
          <w:numId w:val="2"/>
        </w:numPr>
        <w:spacing w:before="120" w:after="48" w:line="240" w:lineRule="auto"/>
        <w:ind w:firstLine="482" w:firstLineChars="200"/>
        <w:rPr>
          <w:rFonts w:hint="eastAsia" w:ascii="宋体" w:hAnsi="宋体" w:eastAsia="宋体" w:cs="宋体"/>
          <w:sz w:val="22"/>
          <w:szCs w:val="22"/>
        </w:rPr>
      </w:pPr>
      <w:r>
        <w:rPr>
          <w:rFonts w:hint="eastAsia" w:ascii="Cambria" w:hAnsi="Cambria" w:eastAsia="宋体" w:cs="宋体"/>
          <w:sz w:val="24"/>
          <w:szCs w:val="24"/>
        </w:rPr>
        <w:t>日常运维服务要求</w:t>
      </w:r>
    </w:p>
    <w:p w14:paraId="14CEABF7">
      <w:pPr>
        <w:numPr>
          <w:ilvl w:val="0"/>
          <w:numId w:val="4"/>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设备巡检</w:t>
      </w:r>
    </w:p>
    <w:p w14:paraId="57A7D7A1">
      <w:pPr>
        <w:numPr>
          <w:ilvl w:val="0"/>
          <w:numId w:val="5"/>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日常巡检：每日对服务器存储设备进行1次巡检，重点检查设备运行状态、硬件指示灯、温度、风扇转速、存储容量、系统日志等，填写《日常巡检记录表》，发现异常及时处理并上报。</w:t>
      </w:r>
    </w:p>
    <w:p w14:paraId="5D081E78">
      <w:pPr>
        <w:numPr>
          <w:ilvl w:val="0"/>
          <w:numId w:val="5"/>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每周巡检：每周对服务器存储设备进行1次全面巡检，包括硬件设备除尘、线缆检查、端口状态检测、性能监测（CPU、内存、存储、网络带宽等），优化设备运行参数。</w:t>
      </w:r>
    </w:p>
    <w:p w14:paraId="7426C67C">
      <w:pPr>
        <w:numPr>
          <w:ilvl w:val="0"/>
          <w:numId w:val="5"/>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每月巡检：每月联合医院信息科开展1次专项巡检，重点检查数据备份情况、设备冗余机制、安全漏洞、软件补丁更新情况等，评估设备运行风险，提出优化建议，形成《每月巡检报告》，明确整改措施及完成时限。</w:t>
      </w:r>
    </w:p>
    <w:p w14:paraId="0E997EFB">
      <w:pPr>
        <w:numPr>
          <w:ilvl w:val="0"/>
          <w:numId w:val="4"/>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系统维护</w:t>
      </w:r>
    </w:p>
    <w:p w14:paraId="31A92772">
      <w:pPr>
        <w:numPr>
          <w:ilvl w:val="0"/>
          <w:numId w:val="6"/>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操作系统维护：定期对服务器操作系统进行优化，清理系统垃圾、日志文件，检查系统漏洞，及时安装官方发布的安全补丁（需提前与医院信息科沟通，确认补丁兼容性，避免影响核心业务系统）；定期备份操作系统配置，确保系统出现故障时可快速恢复。</w:t>
      </w:r>
    </w:p>
    <w:p w14:paraId="415B0619">
      <w:pPr>
        <w:numPr>
          <w:ilvl w:val="0"/>
          <w:numId w:val="6"/>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存储系统维护：定期检查存储阵列运行状态，监测存储池、逻辑卷的使用情况，及时清理无效数据、碎片文件，优化存储IO性能；检查存储冗余机制，确保冗余正常，若出现硬盘损坏等情况，需</w:t>
      </w:r>
      <w:r>
        <w:rPr>
          <w:rFonts w:hint="eastAsia" w:ascii="宋体" w:hAnsi="宋体" w:eastAsia="宋体" w:cs="宋体"/>
          <w:sz w:val="24"/>
        </w:rPr>
        <w:t>及时</w:t>
      </w:r>
      <w:r>
        <w:rPr>
          <w:rFonts w:ascii="宋体" w:hAnsi="宋体" w:eastAsia="宋体" w:cs="宋体"/>
          <w:sz w:val="24"/>
        </w:rPr>
        <w:t>更换备用硬盘，并完成数据同步；定期备份存储系统配置，记录存储设备运行参数。</w:t>
      </w:r>
    </w:p>
    <w:p w14:paraId="5C05C413">
      <w:pPr>
        <w:numPr>
          <w:ilvl w:val="0"/>
          <w:numId w:val="6"/>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软件维护：定期对存储管理软件、备份软件、虚拟化软件等进行维护，检查软件运行状态，及时更新软件版本及补丁，解决软件运行过程中出现的异常问题；优化软件配置，提升软件运行效率。</w:t>
      </w:r>
    </w:p>
    <w:p w14:paraId="643FE252">
      <w:pPr>
        <w:tabs>
          <w:tab w:val="left" w:pos="540"/>
        </w:tabs>
        <w:spacing w:after="48" w:line="360" w:lineRule="auto"/>
        <w:jc w:val="left"/>
        <w:rPr>
          <w:rFonts w:hint="eastAsia" w:ascii="宋体" w:hAnsi="宋体" w:eastAsia="宋体" w:cs="宋体"/>
          <w:sz w:val="24"/>
        </w:rPr>
      </w:pPr>
    </w:p>
    <w:p w14:paraId="01DA4054">
      <w:pPr>
        <w:numPr>
          <w:ilvl w:val="0"/>
          <w:numId w:val="4"/>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数据管理</w:t>
      </w:r>
    </w:p>
    <w:p w14:paraId="2CE29682">
      <w:pPr>
        <w:numPr>
          <w:ilvl w:val="0"/>
          <w:numId w:val="7"/>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数据备份：严格按照医院数据备份策略，每日对核心业务数据进行增量备份，每周进行全量备份，每月进行备份数据恢复测试，确保备份数据可用；备份数据需存储在专用备份设备中，实行异地备份（若医院有要求），备份存储设备需单独运维，确保备份数据安全。</w:t>
      </w:r>
    </w:p>
    <w:p w14:paraId="0BB4B15B">
      <w:pPr>
        <w:numPr>
          <w:ilvl w:val="0"/>
          <w:numId w:val="7"/>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数据恢复：若发生数据丢失、损坏等情况，运维人员需在接到指令后立即启动数据恢复流程，根据备份数据快速恢复，最大限度减少数据丢失对医院业务的影响；数据恢复完成后，需对恢复的数据进行校验，确保数据完整性，并填写《数据恢复记录表》。</w:t>
      </w:r>
    </w:p>
    <w:p w14:paraId="2E04960C">
      <w:pPr>
        <w:numPr>
          <w:ilvl w:val="0"/>
          <w:numId w:val="7"/>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数据迁移：当服务器存储设备升级、更换或业务调整需要进行数据迁移时，运维团队需提前制定详细的数据迁移方案（包括迁移流程、时间、风险防控措施等），报医院信息科审批通过后实施；迁移过程中需全程监测，确保数据不丢失、不篡改，迁移完成后进行数据校验及业务测试，确保迁移后系统正常运行。</w:t>
      </w:r>
    </w:p>
    <w:p w14:paraId="00FD27B9">
      <w:pPr>
        <w:numPr>
          <w:ilvl w:val="0"/>
          <w:numId w:val="4"/>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日志管理</w:t>
      </w:r>
    </w:p>
    <w:p w14:paraId="0AE9A420">
      <w:pPr>
        <w:numPr>
          <w:ilvl w:val="0"/>
          <w:numId w:val="8"/>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运维人员需开启服务器存储设备的日志功能，确保日志信息完整、可追溯，日志留存时间不低于1年。</w:t>
      </w:r>
    </w:p>
    <w:p w14:paraId="404A10C8">
      <w:pPr>
        <w:numPr>
          <w:ilvl w:val="0"/>
          <w:numId w:val="8"/>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每日检查设备运行日志、系统日志、安全日志等，及时发现日志中的异常信息（如设备故障、登录异常、数据操作异常等），分析原因并及时处理，形成日志分析记录。</w:t>
      </w:r>
    </w:p>
    <w:p w14:paraId="74728DA0">
      <w:pPr>
        <w:pStyle w:val="5"/>
        <w:numPr>
          <w:ilvl w:val="0"/>
          <w:numId w:val="2"/>
        </w:numPr>
        <w:spacing w:before="120" w:after="48" w:line="240" w:lineRule="auto"/>
        <w:ind w:firstLine="482" w:firstLineChars="200"/>
        <w:rPr>
          <w:rFonts w:ascii="Cambria" w:hAnsi="Cambria" w:eastAsia="宋体" w:cs="宋体"/>
          <w:sz w:val="24"/>
          <w:szCs w:val="24"/>
        </w:rPr>
      </w:pPr>
      <w:r>
        <w:rPr>
          <w:rFonts w:hint="eastAsia" w:ascii="Cambria" w:hAnsi="Cambria" w:eastAsia="宋体" w:cs="宋体"/>
          <w:sz w:val="24"/>
          <w:szCs w:val="24"/>
        </w:rPr>
        <w:t>故障应急处理要求</w:t>
      </w:r>
    </w:p>
    <w:p w14:paraId="69B027DC">
      <w:pPr>
        <w:numPr>
          <w:ilvl w:val="0"/>
          <w:numId w:val="9"/>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故障分级</w:t>
      </w:r>
    </w:p>
    <w:p w14:paraId="25F62320">
      <w:pPr>
        <w:numPr>
          <w:ilvl w:val="0"/>
          <w:numId w:val="10"/>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一级故障（重大故障）：服务器存储设备宕机、核心业务系统无法正常访问、数据丢失或严重损坏，可能导致医院诊疗工作全面受阻，造成重大影响。</w:t>
      </w:r>
    </w:p>
    <w:p w14:paraId="6EAE544B">
      <w:pPr>
        <w:numPr>
          <w:ilvl w:val="0"/>
          <w:numId w:val="10"/>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二级故障（主要故障）：服务器存储设备出现异常，性能严重下降，部分非核心业务系统受影响，但核心业务系统可正常运行，未造成重大影响。</w:t>
      </w:r>
    </w:p>
    <w:p w14:paraId="30E4C100">
      <w:pPr>
        <w:numPr>
          <w:ilvl w:val="0"/>
          <w:numId w:val="10"/>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三级故障（一般故障）：服务器存储设备出现轻微异常，不影响业务系统运行，可通过远程或现场简单操作解决。</w:t>
      </w:r>
    </w:p>
    <w:p w14:paraId="52CCEB4D">
      <w:pPr>
        <w:tabs>
          <w:tab w:val="left" w:pos="540"/>
        </w:tabs>
        <w:spacing w:after="48" w:line="360" w:lineRule="auto"/>
        <w:jc w:val="left"/>
        <w:rPr>
          <w:rFonts w:hint="eastAsia" w:ascii="宋体" w:hAnsi="宋体" w:eastAsia="宋体" w:cs="宋体"/>
          <w:sz w:val="24"/>
        </w:rPr>
      </w:pPr>
    </w:p>
    <w:p w14:paraId="1A6BBBB2">
      <w:pPr>
        <w:numPr>
          <w:ilvl w:val="0"/>
          <w:numId w:val="9"/>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响应时限</w:t>
      </w:r>
    </w:p>
    <w:p w14:paraId="320C6385">
      <w:pPr>
        <w:spacing w:after="48" w:line="360" w:lineRule="auto"/>
        <w:ind w:firstLine="480" w:firstLineChars="200"/>
        <w:rPr>
          <w:rFonts w:ascii="宋体" w:eastAsia="宋体"/>
          <w:sz w:val="24"/>
        </w:rPr>
      </w:pPr>
      <w:r>
        <w:rPr>
          <w:rFonts w:ascii="宋体" w:eastAsia="宋体"/>
          <w:sz w:val="24"/>
        </w:rPr>
        <w:t>一级故障：接到故障通知后，工程师立即现场响应</w:t>
      </w:r>
      <w:r>
        <w:rPr>
          <w:rFonts w:hint="eastAsia" w:ascii="宋体" w:eastAsia="宋体"/>
          <w:sz w:val="24"/>
        </w:rPr>
        <w:t>，1</w:t>
      </w:r>
      <w:r>
        <w:rPr>
          <w:rFonts w:ascii="宋体" w:eastAsia="宋体"/>
          <w:sz w:val="24"/>
        </w:rPr>
        <w:t>小时内抵达现场，故障修复时限不超过</w:t>
      </w:r>
      <w:r>
        <w:rPr>
          <w:rFonts w:hint="eastAsia" w:ascii="宋体" w:eastAsia="宋体"/>
          <w:sz w:val="24"/>
        </w:rPr>
        <w:t>4</w:t>
      </w:r>
      <w:r>
        <w:rPr>
          <w:rFonts w:ascii="宋体" w:eastAsia="宋体"/>
          <w:sz w:val="24"/>
        </w:rPr>
        <w:t>小时；若</w:t>
      </w:r>
      <w:r>
        <w:rPr>
          <w:rFonts w:hint="eastAsia" w:ascii="宋体" w:eastAsia="宋体"/>
          <w:sz w:val="24"/>
        </w:rPr>
        <w:t>4</w:t>
      </w:r>
      <w:r>
        <w:rPr>
          <w:rFonts w:ascii="宋体" w:eastAsia="宋体"/>
          <w:sz w:val="24"/>
        </w:rPr>
        <w:t>小时内无法修复，需立即启动应急预案，采取临时替代方案，保障核心业务系统运行，并及时上报医院信息科及服务商负责人。</w:t>
      </w:r>
    </w:p>
    <w:p w14:paraId="2052C693">
      <w:pPr>
        <w:spacing w:after="48" w:line="360" w:lineRule="auto"/>
        <w:ind w:firstLine="480" w:firstLineChars="200"/>
        <w:rPr>
          <w:rFonts w:ascii="宋体" w:eastAsia="宋体"/>
          <w:sz w:val="24"/>
        </w:rPr>
      </w:pPr>
      <w:r>
        <w:rPr>
          <w:rFonts w:ascii="宋体" w:eastAsia="宋体"/>
          <w:sz w:val="24"/>
        </w:rPr>
        <w:t>二级故障：接到故障通知后，工程师</w:t>
      </w:r>
      <w:r>
        <w:rPr>
          <w:rFonts w:hint="eastAsia" w:ascii="宋体" w:eastAsia="宋体"/>
          <w:sz w:val="24"/>
        </w:rPr>
        <w:t>24小时</w:t>
      </w:r>
      <w:r>
        <w:rPr>
          <w:rFonts w:ascii="宋体" w:eastAsia="宋体"/>
          <w:sz w:val="24"/>
        </w:rPr>
        <w:t>内现场响应，故障修复时限不超过</w:t>
      </w:r>
      <w:r>
        <w:rPr>
          <w:rFonts w:hint="eastAsia" w:ascii="宋体" w:eastAsia="宋体"/>
          <w:sz w:val="24"/>
        </w:rPr>
        <w:t>24</w:t>
      </w:r>
      <w:r>
        <w:rPr>
          <w:rFonts w:ascii="宋体" w:eastAsia="宋体"/>
          <w:sz w:val="24"/>
        </w:rPr>
        <w:t>小时；若</w:t>
      </w:r>
      <w:r>
        <w:rPr>
          <w:rFonts w:hint="eastAsia" w:ascii="宋体" w:eastAsia="宋体"/>
          <w:sz w:val="24"/>
        </w:rPr>
        <w:t>2</w:t>
      </w:r>
      <w:r>
        <w:rPr>
          <w:rFonts w:ascii="宋体" w:eastAsia="宋体"/>
          <w:sz w:val="24"/>
        </w:rPr>
        <w:t>4小时内无法修复，需向医院信息科说明原因，明确修复时限及临时措施。</w:t>
      </w:r>
    </w:p>
    <w:p w14:paraId="2298C667">
      <w:pPr>
        <w:spacing w:after="48" w:line="360" w:lineRule="auto"/>
        <w:ind w:firstLine="480" w:firstLineChars="200"/>
        <w:rPr>
          <w:rFonts w:hint="eastAsia" w:ascii="宋体" w:hAnsi="宋体" w:eastAsia="宋体" w:cs="宋体"/>
          <w:sz w:val="24"/>
        </w:rPr>
      </w:pPr>
      <w:r>
        <w:rPr>
          <w:rFonts w:ascii="宋体" w:eastAsia="宋体"/>
          <w:sz w:val="24"/>
        </w:rPr>
        <w:t>三级故障：接到故障通知后，优先通过远程方式解决（1小时内响应）；若远程无法解决，工程师</w:t>
      </w:r>
      <w:r>
        <w:rPr>
          <w:rFonts w:hint="eastAsia" w:ascii="宋体" w:eastAsia="宋体"/>
          <w:sz w:val="24"/>
        </w:rPr>
        <w:t>48</w:t>
      </w:r>
      <w:r>
        <w:rPr>
          <w:rFonts w:ascii="宋体" w:eastAsia="宋体"/>
          <w:sz w:val="24"/>
        </w:rPr>
        <w:t>小时内现场响应，故障修复时限不超过</w:t>
      </w:r>
      <w:r>
        <w:rPr>
          <w:rFonts w:hint="eastAsia" w:ascii="宋体" w:eastAsia="宋体"/>
          <w:sz w:val="24"/>
        </w:rPr>
        <w:t>4</w:t>
      </w:r>
      <w:r>
        <w:rPr>
          <w:rFonts w:ascii="宋体" w:eastAsia="宋体"/>
          <w:sz w:val="24"/>
        </w:rPr>
        <w:t>8小时。</w:t>
      </w:r>
    </w:p>
    <w:p w14:paraId="5A001E74">
      <w:pPr>
        <w:pStyle w:val="5"/>
        <w:numPr>
          <w:ilvl w:val="0"/>
          <w:numId w:val="2"/>
        </w:numPr>
        <w:spacing w:before="120" w:after="48" w:line="240" w:lineRule="auto"/>
        <w:ind w:firstLine="482" w:firstLineChars="200"/>
        <w:rPr>
          <w:rFonts w:ascii="Cambria" w:hAnsi="Cambria" w:eastAsia="宋体" w:cs="宋体"/>
          <w:sz w:val="24"/>
          <w:szCs w:val="24"/>
        </w:rPr>
      </w:pPr>
      <w:r>
        <w:rPr>
          <w:rFonts w:hint="eastAsia" w:ascii="Cambria" w:hAnsi="Cambria" w:eastAsia="宋体" w:cs="宋体"/>
          <w:sz w:val="24"/>
          <w:szCs w:val="24"/>
        </w:rPr>
        <w:t>设备升级与优化要求</w:t>
      </w:r>
    </w:p>
    <w:p w14:paraId="519D3B74">
      <w:pPr>
        <w:numPr>
          <w:ilvl w:val="0"/>
          <w:numId w:val="11"/>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运维团队需定期对服务器存储设备的运行状态、性能进行评估，结合医院业务发展需求，每季度向医院信息科提交设备升级、优化建议报告，包括升级方案、优化措施、所需资源及预期效果等。</w:t>
      </w:r>
    </w:p>
    <w:p w14:paraId="17FEBFE3">
      <w:pPr>
        <w:numPr>
          <w:ilvl w:val="0"/>
          <w:numId w:val="11"/>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设备升级（硬件升级、软件升级）需提前与医院信息科沟通，制定详细的升级方案及应急预案，明确升级时间（优先选择医院非诊疗高峰时段，如夜间、节假日），避免影响核心业务系统运行；升级完成后，需进行全面测试，确保设备及系统正常运行，并填写《设备升级记录表》。</w:t>
      </w:r>
    </w:p>
    <w:p w14:paraId="23142CC7">
      <w:pPr>
        <w:numPr>
          <w:ilvl w:val="0"/>
          <w:numId w:val="11"/>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根据医院业务变化及设备运行情况，定期对服务器存储设备的配置、性能进行优化，包括CPU、内存、存储资源的合理分配，IO性能优化，系统参数调整等，提升设备运行效率，降低运行成本。</w:t>
      </w:r>
    </w:p>
    <w:p w14:paraId="58068271">
      <w:pPr>
        <w:pStyle w:val="5"/>
        <w:numPr>
          <w:ilvl w:val="0"/>
          <w:numId w:val="2"/>
        </w:numPr>
        <w:spacing w:before="120" w:after="48" w:line="240" w:lineRule="auto"/>
        <w:ind w:firstLine="482" w:firstLineChars="200"/>
        <w:rPr>
          <w:rFonts w:ascii="Cambria" w:hAnsi="Cambria" w:eastAsia="宋体" w:cs="宋体"/>
          <w:sz w:val="24"/>
          <w:szCs w:val="24"/>
        </w:rPr>
      </w:pPr>
      <w:r>
        <w:rPr>
          <w:rFonts w:hint="eastAsia" w:ascii="Cambria" w:hAnsi="Cambria" w:eastAsia="宋体" w:cs="宋体"/>
          <w:sz w:val="24"/>
          <w:szCs w:val="24"/>
        </w:rPr>
        <w:t>安全管理要求</w:t>
      </w:r>
    </w:p>
    <w:p w14:paraId="0CC71314">
      <w:pPr>
        <w:numPr>
          <w:ilvl w:val="0"/>
          <w:numId w:val="12"/>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身份认证：服务器存储设备需启用严格的身份认证机制，设置复杂密码，定期更换密码（每3个月至少1次），禁止弱密码、默认密码；运维人员需使用专属账号登录设备，账号权限遵循“最小权限原则”，严禁共用账号。</w:t>
      </w:r>
    </w:p>
    <w:p w14:paraId="4C339A91">
      <w:pPr>
        <w:numPr>
          <w:ilvl w:val="0"/>
          <w:numId w:val="12"/>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访问控制：严格控制服务器存储设备的访问权限，仅允许授权运维人员及医院相关工作人员访问；禁止外部人员访问设备，若因工作需要外部人员协助，需经医院信息科审批，全程有医院工作人员陪同，并记录访问情况。</w:t>
      </w:r>
    </w:p>
    <w:p w14:paraId="72BD7E45">
      <w:pPr>
        <w:numPr>
          <w:ilvl w:val="0"/>
          <w:numId w:val="12"/>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安全防护：服务器存储设备需安装必要的安全防护软件（如杀毒软件、防火墙等），定期更新病毒库、防火墙规则；禁止在设备上安装无关软件、插入移动存储设备（经审批除外），防止病毒、恶意软件入侵。</w:t>
      </w:r>
    </w:p>
    <w:p w14:paraId="6AA215D9">
      <w:pPr>
        <w:numPr>
          <w:ilvl w:val="0"/>
          <w:numId w:val="12"/>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漏洞管理：定期对服务器存储设备及配套软件进行漏洞扫描（每月至少1次），及时发现安全漏洞，制定漏洞修复方案，报医院信息科审批后及时修复；对无法立即修复的漏洞，需采取临时防护措施，降低安全风险。</w:t>
      </w:r>
    </w:p>
    <w:p w14:paraId="672D1E8A">
      <w:pPr>
        <w:numPr>
          <w:ilvl w:val="0"/>
          <w:numId w:val="12"/>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保密管理：运维人员需严格遵守医院保密规定，不得泄露、复制、传播医院医疗数据、设备配置信息、运维记录等机密内容；运维过程中产生的所有记录（如巡检记录、故障记录、备份数据等），需妥善保管，不得随意丢弃、泄露；服务结束后，需交还所有与医院相关的机密资料，删除所有存储在个人设备上的医院相关信息。</w:t>
      </w:r>
    </w:p>
    <w:p w14:paraId="48F985E0">
      <w:pPr>
        <w:pStyle w:val="5"/>
        <w:numPr>
          <w:ilvl w:val="0"/>
          <w:numId w:val="2"/>
        </w:numPr>
        <w:spacing w:before="120" w:after="48" w:line="240" w:lineRule="auto"/>
        <w:ind w:firstLine="482" w:firstLineChars="200"/>
        <w:rPr>
          <w:rFonts w:ascii="Cambria" w:hAnsi="Cambria" w:eastAsia="宋体" w:cs="宋体"/>
          <w:sz w:val="24"/>
          <w:szCs w:val="24"/>
        </w:rPr>
      </w:pPr>
      <w:r>
        <w:rPr>
          <w:rFonts w:hint="eastAsia" w:ascii="Cambria" w:hAnsi="Cambria" w:eastAsia="宋体" w:cs="宋体"/>
          <w:sz w:val="24"/>
          <w:szCs w:val="24"/>
        </w:rPr>
        <w:t>服务报告与文档管理要求</w:t>
      </w:r>
    </w:p>
    <w:p w14:paraId="2791B1E0">
      <w:pPr>
        <w:numPr>
          <w:ilvl w:val="0"/>
          <w:numId w:val="13"/>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服务报告</w:t>
      </w:r>
    </w:p>
    <w:p w14:paraId="1B61AD80">
      <w:pPr>
        <w:numPr>
          <w:ilvl w:val="0"/>
          <w:numId w:val="14"/>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日常报告：内容包括设备运行状态、巡检情况、故障处理情况、数据备份情况、优化措施及下一步工作计划等。</w:t>
      </w:r>
    </w:p>
    <w:p w14:paraId="0D49DA26">
      <w:pPr>
        <w:numPr>
          <w:ilvl w:val="0"/>
          <w:numId w:val="14"/>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专项报告：发生重大故障后，提交《重大故障处理专项报告》，详细说明故障原因、处理过程、修复结果、影响范围及改进措施；设备升级、数据迁移完成后，提交《专项工作报告》，说明工作开展情况、测试结果及遗留问题（如有）</w:t>
      </w:r>
      <w:r>
        <w:rPr>
          <w:rFonts w:hint="eastAsia" w:cs="宋体"/>
          <w:sz w:val="24"/>
        </w:rPr>
        <w:t>。</w:t>
      </w:r>
    </w:p>
    <w:p w14:paraId="6542A4B1">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3.报告要求：所有报告需内容真实、数据准确、条理清晰，加盖服务商公章（或负责人签字）后提交医院信息科，医院信息科对报告进行审核，提出整改意见的，服务商需及时整改并反馈。</w:t>
      </w:r>
    </w:p>
    <w:p w14:paraId="48B4FFAE">
      <w:pPr>
        <w:numPr>
          <w:ilvl w:val="0"/>
          <w:numId w:val="13"/>
        </w:numPr>
        <w:tabs>
          <w:tab w:val="left" w:pos="540"/>
        </w:tabs>
        <w:spacing w:after="48" w:line="360" w:lineRule="auto"/>
        <w:jc w:val="left"/>
        <w:rPr>
          <w:rFonts w:hint="eastAsia" w:ascii="宋体" w:hAnsi="宋体" w:eastAsia="宋体" w:cs="宋体"/>
          <w:sz w:val="24"/>
        </w:rPr>
      </w:pPr>
      <w:r>
        <w:rPr>
          <w:rFonts w:ascii="宋体" w:hAnsi="宋体" w:eastAsia="宋体" w:cs="宋体"/>
          <w:sz w:val="24"/>
        </w:rPr>
        <w:t>文档管理</w:t>
      </w:r>
    </w:p>
    <w:p w14:paraId="62C186D5">
      <w:pPr>
        <w:numPr>
          <w:ilvl w:val="0"/>
          <w:numId w:val="15"/>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运维文档：服务商需建立完善的运维文档体系，包括设备台账（设备型号、规格、安装时间、序列号、配套组件等）、运维手册、故障处理流程、应急预案、备份策略、升级方案、巡检记录、故障记录、数据恢复记录等。</w:t>
      </w:r>
    </w:p>
    <w:p w14:paraId="355E844D">
      <w:pPr>
        <w:numPr>
          <w:ilvl w:val="0"/>
          <w:numId w:val="15"/>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文档更新：运维文档需及时更新，当设备升级、配置调整、运维流程变更时，需在3个工作日内更新相关文档，确保文档与实际情况一致。</w:t>
      </w:r>
    </w:p>
    <w:p w14:paraId="06065F88">
      <w:pPr>
        <w:numPr>
          <w:ilvl w:val="0"/>
          <w:numId w:val="15"/>
        </w:num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文档留存：所有运维文档需留存纸质版及电子版，纸质版需装订成册，电子版需备份存储；服务期限内，文档由服务商妥善保管，医院信息科可随时查阅；服务结束后，所有运维文档需完整移交医院信息科，办理移交手续。</w:t>
      </w:r>
    </w:p>
    <w:p w14:paraId="3D8BAAEA">
      <w:pPr>
        <w:pStyle w:val="4"/>
        <w:spacing w:before="120" w:after="48"/>
        <w:rPr>
          <w:rFonts w:hint="eastAsia"/>
        </w:rPr>
      </w:pPr>
      <w:r>
        <w:rPr>
          <w:rFonts w:hint="eastAsia"/>
        </w:rPr>
        <w:t>HIS系统&amp;集成平台运维服务需求</w:t>
      </w:r>
    </w:p>
    <w:p w14:paraId="5ED64DCF">
      <w:pPr>
        <w:pStyle w:val="5"/>
        <w:spacing w:before="120" w:after="48"/>
      </w:pPr>
      <w:r>
        <w:rPr>
          <w:rFonts w:hint="eastAsia"/>
        </w:rPr>
        <w:t>背景</w:t>
      </w:r>
    </w:p>
    <w:p w14:paraId="7D3C7587">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我院集成平台系统</w:t>
      </w:r>
      <w:bookmarkStart w:id="0" w:name="OLE_LINK2"/>
      <w:r>
        <w:rPr>
          <w:rFonts w:hint="eastAsia" w:ascii="宋体" w:hAnsi="宋体" w:eastAsia="宋体" w:cs="宋体"/>
          <w:sz w:val="24"/>
        </w:rPr>
        <w:t>于2019 年完成建设并正式投入使用，总建设资金为12876700元，</w:t>
      </w:r>
      <w:bookmarkEnd w:id="0"/>
      <w:r>
        <w:rPr>
          <w:rFonts w:hint="eastAsia" w:ascii="宋体" w:hAnsi="宋体" w:eastAsia="宋体" w:cs="宋体"/>
          <w:sz w:val="24"/>
        </w:rPr>
        <w:t>平台上线后已实现与HIS 系统、电子病历系统、护理文书系统、检验 LIS 系统、检查 PACS/RIS 系统等核心业务系统的接口对接与数据互通，是医院临床业务、诊疗数据流转、信息系统协同运行的核心枢纽，承担全院系统集成、数据交换、业务协同、消息路由、日志监控、标准管理等关键职能。为保障集成平台7×24 小时稳定、安全、高效运行，确保各业务系统间数据传输准确、接口服务可用、业务流程顺畅，现提出以下集成平台维保服务需求：</w:t>
      </w:r>
    </w:p>
    <w:p w14:paraId="1375C936">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一、维保总体要求</w:t>
      </w:r>
    </w:p>
    <w:p w14:paraId="28B4D830">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维保服务需覆盖集成平台全生命周期运维保障，确保平台架构、中间件、接口服务、数据交换、监控管理等模块持续稳定运行。</w:t>
      </w:r>
    </w:p>
    <w:p w14:paraId="3CD66C6D">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保障平台与 HIS、电子病历、护理文书、检验、检查等已对接系统的接口可用性、数据准确性、传输及时性，不影响临床诊疗、护理、检验检查等日常业务开展。</w:t>
      </w:r>
    </w:p>
    <w:p w14:paraId="090A53EA">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提供专业、及时、标准化的运维响应与技术支持，满足医院等级评审、互联互通测评、数据上报及日常信息化管理要求。</w:t>
      </w:r>
    </w:p>
    <w:p w14:paraId="6C41E1F7">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维保期间需保障平台安全合规运行，做好数据加密、访问控制、日志审计、漏洞防护等工作，杜绝数据泄露、传输中断、接口异常等风险。</w:t>
      </w:r>
    </w:p>
    <w:p w14:paraId="3686B625">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二、系统基础运行维保</w:t>
      </w:r>
    </w:p>
    <w:p w14:paraId="69067531">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负责集成平台服务器、操作系统、数据库、集成中间件、消息队列、ESB/HL7 网关等基础环境的日常巡检、状态监控与性能优化。</w:t>
      </w:r>
    </w:p>
    <w:p w14:paraId="37CACB24">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定期检查平台CPU、内存、磁盘、网络、服务进程运行状态，及时处理资源占用过高、服务宕机、进程异常等问题。</w:t>
      </w:r>
    </w:p>
    <w:p w14:paraId="79E004F5">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保障平台数据库正常运行，包括数据备份、日志清理、表空间维护、索引优化、数据一致性检查等。</w:t>
      </w:r>
    </w:p>
    <w:p w14:paraId="222B25E3">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对平台配置文件、参数设置、路由规则、转换脚本进行统一管理与备份，防止配置丢失或误改导致系统故障。</w:t>
      </w:r>
    </w:p>
    <w:p w14:paraId="6C594B1B">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三、接口与数据交换维保</w:t>
      </w:r>
    </w:p>
    <w:p w14:paraId="38A33C40">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对已对接的HIS、电子病历、护理文书、检验、检查等系统接口进行常态化巡检，确保接口服务在线、调用正常、无大量失败日志。</w:t>
      </w:r>
    </w:p>
    <w:p w14:paraId="694B3D63">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处理接口调用失败、数据丢失、报文错误、格式不匹配、超时、阻塞等问题，快速定位并修复传输异常，保障诊疗数据实时互通。</w:t>
      </w:r>
    </w:p>
    <w:p w14:paraId="067EEC84">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维护HL7、FHIR、WebService、API、MQ等多种协议接口的适配与转换逻辑，确保不同系统间数据标准统一。</w:t>
      </w:r>
    </w:p>
    <w:p w14:paraId="4E44267F">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针对业务流程调整、系统升级等场景，提供接口适配、字段映射、规则调整等技术支持，保障业务联动不受影响。</w:t>
      </w:r>
    </w:p>
    <w:p w14:paraId="2785A5DD">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四、故障处理与应急保障</w:t>
      </w:r>
    </w:p>
    <w:p w14:paraId="4D38CCF3">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提供7×24 小时故障响应服务，明确故障等级与响应时限，一般故障及时处理，重大故障立即介入。</w:t>
      </w:r>
    </w:p>
    <w:p w14:paraId="171B72ED">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建立故障排查、定位、修复、验证、复盘机制，详细记录故障原因、处理过程、解决措施，形成运维台账。</w:t>
      </w:r>
    </w:p>
    <w:p w14:paraId="1314B01D">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制定集成平台应急预案，包括接口大面积中断、数据传输拥堵、核心服务宕机、网络异常等场景的应急处置流程。</w:t>
      </w:r>
    </w:p>
    <w:p w14:paraId="1BB4FCFD">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重大节假日、重要检查、业务高峰期前开展专项巡检与压力验证，确保平台高可用。</w:t>
      </w:r>
    </w:p>
    <w:p w14:paraId="095A2F16">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五、性能优化与升级支持</w:t>
      </w:r>
    </w:p>
    <w:p w14:paraId="63CD02CE">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定期对集成平台传输效率、并发能力、处理延迟、吞吐量进行监测与分析，针对瓶颈进行优化。</w:t>
      </w:r>
    </w:p>
    <w:p w14:paraId="4AF1924B">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对数据积压、消息堆积、转换耗时过长、接口响应慢等性能问题进行调优，提升平台整体运行效率。</w:t>
      </w:r>
    </w:p>
    <w:p w14:paraId="308631F2">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配合医院信息科及各业务系统厂商，完成系统版本升级、补丁更新、安全加固，并做好升级前测试、升级中保障、升级后验证。</w:t>
      </w:r>
    </w:p>
    <w:p w14:paraId="2736DD91">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提供平台扩容、架构优化、标准升级的技术建议，满足医院未来信息化建设扩展需求。</w:t>
      </w:r>
    </w:p>
    <w:p w14:paraId="7EDED68B">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六、日志管理与审计追溯</w:t>
      </w:r>
    </w:p>
    <w:p w14:paraId="45D98EA7">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负责平台接口调用日志、数据传输日志、异常日志、操作日志的收集、存储、查询与分析。</w:t>
      </w:r>
    </w:p>
    <w:p w14:paraId="464275C2">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支持按时间、系统、接口类型、患者信息等维度快速检索日志，满足临床问题追溯、数据核对、互联互通审计要求。</w:t>
      </w:r>
    </w:p>
    <w:p w14:paraId="7EAC6C30">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定期清理冗余日志，保障日志存储合理、查询高效，同时确保日志不可篡改、可追溯。</w:t>
      </w:r>
    </w:p>
    <w:p w14:paraId="37BF700A">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七、培训与技术文档服务</w:t>
      </w:r>
    </w:p>
    <w:p w14:paraId="4639FA30">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为医院信息科人员提供平台操作、日常巡检、简单故障处理、接口监控查看等基础培训。</w:t>
      </w:r>
    </w:p>
    <w:p w14:paraId="393FD303">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完善并更新集成平台运维手册、接口手册、架构图、配置说明、故障处理手册等技术文档。</w:t>
      </w:r>
    </w:p>
    <w:p w14:paraId="608EF02E">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定期向医院提交维保报告、巡检记录、故障统计、优化建议，实现运维工作可视化、规范化。</w:t>
      </w:r>
    </w:p>
    <w:p w14:paraId="66A10999">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八、安全与合规保障</w:t>
      </w:r>
    </w:p>
    <w:p w14:paraId="4AFA1A35">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落实信息安全要求，对平台访问权限、账号管理、密钥配置、数据加密进行规范管理。</w:t>
      </w:r>
    </w:p>
    <w:p w14:paraId="77CC451B">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及时处理平台及相关组件安全漏洞、病毒威胁、非法访问等风险，配合完成等保、医院评级等安全检查。</w:t>
      </w:r>
    </w:p>
    <w:p w14:paraId="258F6B43">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严格遵守医院数据安全管理规定，确保诊疗数据在传输、交换、存储过程中安全、合规、可控。</w:t>
      </w:r>
    </w:p>
    <w:p w14:paraId="368A1C91">
      <w:pPr>
        <w:tabs>
          <w:tab w:val="left" w:pos="540"/>
        </w:tabs>
        <w:spacing w:after="48" w:line="360" w:lineRule="auto"/>
        <w:ind w:firstLine="480" w:firstLineChars="200"/>
        <w:jc w:val="left"/>
        <w:rPr>
          <w:rFonts w:ascii="宋体" w:hAnsi="宋体" w:eastAsia="宋体" w:cs="宋体"/>
          <w:sz w:val="24"/>
        </w:rPr>
      </w:pPr>
      <w:r>
        <w:rPr>
          <w:rFonts w:hint="eastAsia" w:ascii="宋体" w:hAnsi="宋体" w:eastAsia="宋体" w:cs="宋体"/>
          <w:sz w:val="24"/>
        </w:rPr>
        <w:t>我院旧HIS信息管理系统于2010年完成建设并正式投入使用，总建设资金为398万元。</w:t>
      </w:r>
    </w:p>
    <w:p w14:paraId="64E6F671">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一、维保总体要求</w:t>
      </w:r>
    </w:p>
    <w:p w14:paraId="02DD9DAC">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1系统界面维护</w:t>
      </w:r>
    </w:p>
    <w:p w14:paraId="0AF67F11">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系统界面作为用户与旧 HIS 系统交互的核心载体，维护工作以 “稳定可用、操作便捷、数据准确” 为核心，保障诊疗与管理业务顺畅开展。重点确保系统运行稳定性，及时排查并修复卡顿、闪退、显示异常、功能按钮失效等问题，解决因系统老化导致的兼容性缺陷，确保界面在现有终端与操作系统环境下正常运行，无业务中断风险。同时，保障界面展示的患者信息、诊疗数据、费用明细、库存状态等准确无误，与数据库数据保持一致，避免数据错位、偏差或缺失；优化界面操作逻辑，简化冗余步骤，调整核心功能布局，提升用户操作便捷性；严格适配岗位权限分级要求，维护界面访问权限的准确性，防止越权访问，确保数据安全。</w:t>
      </w:r>
    </w:p>
    <w:p w14:paraId="2D756FC5">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2数据库维护</w:t>
      </w:r>
    </w:p>
    <w:p w14:paraId="1077F461">
      <w:pPr>
        <w:tabs>
          <w:tab w:val="left" w:pos="540"/>
        </w:tabs>
        <w:spacing w:after="48" w:line="360" w:lineRule="auto"/>
        <w:ind w:firstLine="480" w:firstLineChars="200"/>
        <w:jc w:val="left"/>
        <w:rPr>
          <w:rFonts w:hint="eastAsia" w:ascii="宋体" w:hAnsi="宋体" w:eastAsia="宋体" w:cs="宋体"/>
          <w:sz w:val="24"/>
        </w:rPr>
      </w:pPr>
      <w:r>
        <w:rPr>
          <w:rFonts w:hint="eastAsia" w:ascii="宋体" w:hAnsi="宋体" w:eastAsia="宋体" w:cs="宋体"/>
          <w:sz w:val="24"/>
        </w:rPr>
        <w:t>数据库作为旧 HIS 系统的数据核心，维护工作聚焦 “稳定运行、数据安全、性能保障”，应对系统老化带来的数据量激增、硬件支撑不足等问题。持续监控数据库服务器资源占用、运行状态，定期开展表空间清理、索引优化、碎片整理等工作，排查并解决表空间不足、索引失效、数据块损坏等隐患，保障数据库稳定运行，避免因数据库异常导致系统卡顿或业务中断。建立完善的数据备份机制，定期执行全量备份与增量备份，确保诊疗数据、费用数据、患者信息等关键数据不丢失，同时开展数据恢复演练，提升应急恢复能力。严格管控数据库访问权限，防范数据泄露、篡改风险，定期核查数据完整性与一致性，及时处理数据同步异常、字段不匹配等问题，为系统正常运行提供可靠的数据支撑。</w:t>
      </w:r>
    </w:p>
    <w:p w14:paraId="5D0BB78C">
      <w:pPr>
        <w:pStyle w:val="5"/>
        <w:spacing w:before="120" w:after="48"/>
        <w:rPr>
          <w:rFonts w:hint="eastAsia"/>
        </w:rPr>
      </w:pPr>
      <w:r>
        <w:rPr>
          <w:rFonts w:hint="eastAsia"/>
        </w:rPr>
        <w:t>服务内容要求</w:t>
      </w:r>
    </w:p>
    <w:p w14:paraId="258D5685">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（1）服务方式：承诺提供的维护服务是一周7天24小时全天候响应服务，响应方式包括服务电话支持、远程协助支持、现场专人维护服务。</w:t>
      </w:r>
    </w:p>
    <w:p w14:paraId="3A3CEBEE">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（2）本次维护期内包含同版本软件更新：</w:t>
      </w:r>
    </w:p>
    <w:p w14:paraId="4E33EB77">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3）故障维护：配合解决系统运行过程中由于（网络）、服务器、计算机、操作系统等原因所产生的软件无法正常运行的情况，保障系统的正常运行，并在完成故障处理后出具产品维护报告，包含问题的原因、解决办法及建议。</w:t>
      </w:r>
    </w:p>
    <w:p w14:paraId="38DD248C">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（4）软件正确性维护：软件运行过程中新发现的软件错误，负责维护并及时改进，同时提供软件维护说明。</w:t>
      </w:r>
    </w:p>
    <w:p w14:paraId="16CFF36A">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（5）用户培训：负责软件更改后造成软件操作变化的使用培训，培训对象为医生、护士、技术工程师、业务科室的关键用户。同时提供新功能使用说明。</w:t>
      </w:r>
    </w:p>
    <w:p w14:paraId="42B9FA35">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（6）定时巡检：经许可，每一季度进行一次定期现场巡检，对应用软件的软硬件环境进行检查，发现系统稳定运行的隐患因素并及时排除。出具系统巡检报告，内容包含巡检范围、结果及巡检建议。</w:t>
      </w:r>
    </w:p>
    <w:p w14:paraId="73C08EC7">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（7）需求的更新：①由于国家卫生主管部门政策变化导致软件系统功能中的表单内容或格式需变更，</w:t>
      </w:r>
      <w:r>
        <w:rPr>
          <w:rFonts w:hint="eastAsia" w:ascii="宋体" w:hAnsi="宋体" w:eastAsia="宋体" w:cs="宋体"/>
          <w:sz w:val="24"/>
        </w:rPr>
        <w:t>需</w:t>
      </w:r>
      <w:r>
        <w:rPr>
          <w:rFonts w:ascii="宋体" w:hAnsi="宋体" w:eastAsia="宋体" w:cs="宋体"/>
          <w:sz w:val="24"/>
        </w:rPr>
        <w:t>及时完善到系统中。②在实际工作中产生的需要系统新增、更新、优化相关功能，经双方友好协商后，需按照要求的时间内免费处理。③在实际工作中，如需与HIS系统和集成平台等系统及平台进行接口对接，应按照需求进行免费实施处理。</w:t>
      </w:r>
    </w:p>
    <w:p w14:paraId="3D326C18">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（8）系统建设建议：系统在运行过程中，不定期地提供科室软件建设建议方案。</w:t>
      </w:r>
    </w:p>
    <w:p w14:paraId="52699BAD">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（9）维保响应时间要求：</w:t>
      </w:r>
    </w:p>
    <w:p w14:paraId="38861636">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服务范围包括所有维护的软件及硬件设备的问题。</w:t>
      </w:r>
    </w:p>
    <w:p w14:paraId="0B0EF1B5">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①在维护期内，如软件系统故障，需在接到通知后30分钟内予以响应，共同协商解决方案。若需要工程师前往现场，除约定到达时间外，一般要求在2小时到达指定现场。工程师在到达现场后，经现场调查后，除约定时间外，一般要求4小时内排除故障。如因需求修改要求工程师现场维护的，应在24小时内予以回应，给出具体解决方案和时间表，经批准后，遵照方案、时间表及本合同约定执行。</w:t>
      </w:r>
    </w:p>
    <w:p w14:paraId="575B694B">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②根据情况分为三种处理级别与响应时间：</w:t>
      </w:r>
    </w:p>
    <w:p w14:paraId="68E35974">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I级：系统宕机，业务停止。</w:t>
      </w:r>
    </w:p>
    <w:p w14:paraId="74EBB6F7">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处理方式：接到服务请求后10分钟内响应，30分钟内前往使用现场，1小时内解决故障。</w:t>
      </w:r>
    </w:p>
    <w:p w14:paraId="11D71D4A">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II级：系统能够工作，部分功能失效，但不至于中断业务。</w:t>
      </w:r>
    </w:p>
    <w:p w14:paraId="048B6798">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处理方式：接到服务请求后30分钟内响应，可以远程解决的1小时内远程解决故障；需去到现场解决的2小时内到达到故障现场。</w:t>
      </w:r>
    </w:p>
    <w:p w14:paraId="7311DF2C">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III级：系统可以运行，但出现系统报错或出现问题。</w:t>
      </w:r>
    </w:p>
    <w:p w14:paraId="0FAB9A97">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处理方式：接到服务请求后30分钟内响应，可以远程解决的1小时内远程解决故障。如需研发更新或修改程序的故障4小时排除和解决故障；每次故障维护后，都应出具故障维修报告。</w:t>
      </w:r>
    </w:p>
    <w:p w14:paraId="45565338">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（10）文档管理：提供和完善相关服务工作文档（软件更新的内容说明和常见问题的解决方法说明）。</w:t>
      </w:r>
    </w:p>
    <w:p w14:paraId="1BC3664F">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11）应积极免费配合医院互联互通五级乙等、电子病历五及六级评审、智慧医院服务评级三及四级等相关的评审工作。免费配合医院完成本合同软件系统单点登录的改造要求。免费配合医院完成安全等级保护2.0项目的改造要求。免费协助医院实现闭环管理的改造要求。</w:t>
      </w:r>
      <w:bookmarkStart w:id="1" w:name="_Hlk88077914"/>
      <w:r>
        <w:rPr>
          <w:rFonts w:ascii="宋体" w:hAnsi="宋体" w:eastAsia="宋体" w:cs="宋体"/>
          <w:sz w:val="24"/>
        </w:rPr>
        <w:t>免费协助医院完成三甲复审管理相关改造要求。免费配合医院完成的《医疗信息系统项目管理系统》的维护要求。</w:t>
      </w:r>
      <w:bookmarkEnd w:id="1"/>
    </w:p>
    <w:p w14:paraId="3238ABCF">
      <w:pPr>
        <w:pStyle w:val="5"/>
        <w:spacing w:before="120" w:after="48"/>
        <w:rPr>
          <w:rFonts w:hint="eastAsia"/>
        </w:rPr>
      </w:pPr>
      <w:r>
        <w:t xml:space="preserve">服务工程师要求 </w:t>
      </w:r>
    </w:p>
    <w:p w14:paraId="4323E623">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 xml:space="preserve">要求提供 </w:t>
      </w:r>
      <w:r>
        <w:rPr>
          <w:rFonts w:hint="eastAsia" w:ascii="宋体" w:hAnsi="宋体" w:eastAsia="宋体" w:cs="宋体"/>
          <w:sz w:val="24"/>
        </w:rPr>
        <w:t>2</w:t>
      </w:r>
      <w:r>
        <w:rPr>
          <w:rFonts w:ascii="宋体" w:hAnsi="宋体" w:eastAsia="宋体" w:cs="宋体"/>
          <w:sz w:val="24"/>
        </w:rPr>
        <w:t>名以上资深技术专家提供</w:t>
      </w:r>
      <w:r>
        <w:rPr>
          <w:rFonts w:hint="eastAsia" w:ascii="宋体" w:hAnsi="宋体" w:eastAsia="宋体" w:cs="宋体"/>
          <w:sz w:val="24"/>
        </w:rPr>
        <w:t>现场</w:t>
      </w:r>
      <w:r>
        <w:rPr>
          <w:rFonts w:ascii="宋体" w:hAnsi="宋体" w:eastAsia="宋体" w:cs="宋体"/>
          <w:sz w:val="24"/>
        </w:rPr>
        <w:t>技术支持进行日常维护工作，并服从</w:t>
      </w:r>
      <w:r>
        <w:rPr>
          <w:rFonts w:hint="eastAsia" w:ascii="宋体" w:hAnsi="宋体" w:eastAsia="宋体" w:cs="宋体"/>
          <w:sz w:val="24"/>
        </w:rPr>
        <w:t>医院</w:t>
      </w:r>
      <w:r>
        <w:rPr>
          <w:rFonts w:ascii="宋体" w:hAnsi="宋体" w:eastAsia="宋体" w:cs="宋体"/>
          <w:sz w:val="24"/>
        </w:rPr>
        <w:t>管理。远程技术支持工程师中必须具有数据库及系统维护工作经验 3 年以上；远程工程师负责该系统相关硬件设备、操作系统、数据库的日常运维，包含系统加固、扩容，免费顾问咨询、微码升级服务。</w:t>
      </w:r>
    </w:p>
    <w:p w14:paraId="5340A08F">
      <w:pPr>
        <w:pStyle w:val="5"/>
        <w:spacing w:before="120" w:after="48"/>
        <w:rPr>
          <w:rFonts w:hint="eastAsia"/>
        </w:rPr>
      </w:pPr>
      <w:bookmarkStart w:id="2" w:name="_Hlk144846000"/>
      <w:r>
        <w:t>考核标准</w:t>
      </w:r>
    </w:p>
    <w:p w14:paraId="715C719A">
      <w:pPr>
        <w:tabs>
          <w:tab w:val="left" w:pos="540"/>
        </w:tabs>
        <w:spacing w:after="48" w:line="360" w:lineRule="auto"/>
        <w:ind w:firstLine="480" w:firstLineChars="200"/>
        <w:jc w:val="left"/>
        <w:rPr>
          <w:rFonts w:hint="eastAsia" w:ascii="宋体" w:hAnsi="宋体" w:eastAsia="宋体" w:cs="宋体"/>
          <w:sz w:val="24"/>
        </w:rPr>
      </w:pPr>
      <w:r>
        <w:rPr>
          <w:rFonts w:ascii="宋体" w:hAnsi="宋体" w:eastAsia="宋体" w:cs="宋体"/>
          <w:sz w:val="24"/>
        </w:rPr>
        <w:t>售后满一年后</w:t>
      </w:r>
      <w:r>
        <w:rPr>
          <w:rFonts w:hint="eastAsia" w:ascii="宋体" w:hAnsi="宋体" w:eastAsia="宋体" w:cs="宋体"/>
          <w:sz w:val="24"/>
        </w:rPr>
        <w:t>进行</w:t>
      </w:r>
      <w:r>
        <w:rPr>
          <w:rFonts w:ascii="宋体" w:hAnsi="宋体" w:eastAsia="宋体" w:cs="宋体"/>
          <w:sz w:val="24"/>
        </w:rPr>
        <w:t>满意度进行考核，90 分以上为满意；89-80 分为良，售后时间免费延长一个月；79-70 分为一般，售后时间免费延长二个月；69 分以下为及格，售后时间免费延长三个月；60分为基本及格，提交整改报告，医院视情况酌情处理。</w:t>
      </w:r>
    </w:p>
    <w:bookmarkEnd w:id="2"/>
    <w:p w14:paraId="027F111E">
      <w:pPr>
        <w:pStyle w:val="4"/>
        <w:tabs>
          <w:tab w:val="clear" w:pos="312"/>
        </w:tabs>
        <w:spacing w:before="120" w:after="48"/>
        <w:rPr>
          <w:rFonts w:hint="eastAsia"/>
        </w:rPr>
      </w:pPr>
      <w:r>
        <w:rPr>
          <w:rFonts w:hint="eastAsia"/>
        </w:rPr>
        <w:t>运维施工服务需求</w:t>
      </w:r>
      <w:r>
        <w:t>​</w:t>
      </w:r>
    </w:p>
    <w:p w14:paraId="5FC05C3A">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围绕信息化基础设施、网络系统、硬件设备、机房环境等运维施工场景，提供专业化、规范化、安全可控、高效闭环的运维施工服务，确保施工过程合规有序、施工质量达标、系统运行不受影响，实现 “施工不中断业务、操作可追溯、质量可验证” 的核心目标。</w:t>
      </w:r>
    </w:p>
    <w:p w14:paraId="719EFCFA">
      <w:pPr>
        <w:pStyle w:val="5"/>
        <w:spacing w:before="120" w:after="48"/>
        <w:rPr>
          <w:rFonts w:hint="eastAsia"/>
        </w:rPr>
      </w:pPr>
      <w:r>
        <w:t>服务范围</w:t>
      </w:r>
    </w:p>
    <w:p w14:paraId="7B5C06D7">
      <w:pPr>
        <w:pStyle w:val="62"/>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1、</w:t>
      </w:r>
      <w:r>
        <w:rPr>
          <w:rFonts w:ascii="宋体" w:hAnsi="宋体" w:eastAsia="宋体" w:cs="宋体"/>
          <w:kern w:val="2"/>
          <w:sz w:val="24"/>
          <w:szCs w:val="24"/>
        </w:rPr>
        <w:t>硬件设备运维施工</w:t>
      </w:r>
    </w:p>
    <w:p w14:paraId="147F6869">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服务器、存储设备、网络设备（交换机、路由器、防火墙等）的安装、调试、迁移、扩容、拆机、更换配件（硬盘、内存、电源等）施工。</w:t>
      </w:r>
    </w:p>
    <w:p w14:paraId="76D532D2">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终端设备的部署、调试、维修、更换施工。</w:t>
      </w:r>
    </w:p>
    <w:p w14:paraId="6C0BA8B5">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监控设备、门禁设备、安防设备等辅助设施的运维施工。</w:t>
      </w:r>
    </w:p>
    <w:p w14:paraId="165422DD">
      <w:pPr>
        <w:pStyle w:val="62"/>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2、</w:t>
      </w:r>
      <w:r>
        <w:rPr>
          <w:rFonts w:ascii="宋体" w:hAnsi="宋体" w:eastAsia="宋体" w:cs="宋体"/>
          <w:kern w:val="2"/>
          <w:sz w:val="24"/>
          <w:szCs w:val="24"/>
        </w:rPr>
        <w:t>网络与布线运维施工</w:t>
      </w:r>
    </w:p>
    <w:p w14:paraId="34CA3C8C">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局域网、专线链路的故障排查、修复、扩容施工。</w:t>
      </w:r>
    </w:p>
    <w:p w14:paraId="4D818C8B">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网线、光纤的布放、熔接、测试、更换施工。</w:t>
      </w:r>
    </w:p>
    <w:p w14:paraId="7DF9877C">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网络点位新增、调整、迁移施工，以及网络设备配置优化施工。</w:t>
      </w:r>
    </w:p>
    <w:p w14:paraId="68CF9BD4">
      <w:pPr>
        <w:pStyle w:val="62"/>
        <w:ind w:left="432"/>
        <w:rPr>
          <w:rFonts w:hint="eastAsia" w:ascii="宋体" w:hAnsi="宋体" w:eastAsia="宋体" w:cs="宋体"/>
          <w:kern w:val="2"/>
          <w:sz w:val="24"/>
          <w:szCs w:val="24"/>
        </w:rPr>
      </w:pPr>
      <w:r>
        <w:rPr>
          <w:rFonts w:hint="eastAsia" w:ascii="宋体" w:hAnsi="宋体" w:eastAsia="宋体" w:cs="宋体"/>
          <w:kern w:val="2"/>
          <w:sz w:val="24"/>
          <w:szCs w:val="24"/>
        </w:rPr>
        <w:t>3、</w:t>
      </w:r>
      <w:r>
        <w:rPr>
          <w:rFonts w:ascii="宋体" w:hAnsi="宋体" w:eastAsia="宋体" w:cs="宋体"/>
          <w:kern w:val="2"/>
          <w:sz w:val="24"/>
          <w:szCs w:val="24"/>
        </w:rPr>
        <w:t>机房环境运维施工</w:t>
      </w:r>
    </w:p>
    <w:p w14:paraId="7F99F08C">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机房空调、UPS 电源、配电柜、消防设备的巡检、维护、维修施工。</w:t>
      </w:r>
    </w:p>
    <w:p w14:paraId="4FAE3793">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机房环境（温湿度、清洁度、供电稳定性）优化施工。</w:t>
      </w:r>
    </w:p>
    <w:p w14:paraId="6996E109">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机房机柜整理、设备上架 / 下架、线缆规整施工。</w:t>
      </w:r>
    </w:p>
    <w:p w14:paraId="5C43FFEB">
      <w:pPr>
        <w:pStyle w:val="5"/>
        <w:spacing w:before="120" w:after="48"/>
        <w:rPr>
          <w:rFonts w:hint="eastAsia"/>
        </w:rPr>
      </w:pPr>
      <w:r>
        <w:rPr>
          <w:rFonts w:hint="eastAsia"/>
        </w:rPr>
        <w:t>服务要求</w:t>
      </w:r>
    </w:p>
    <w:p w14:paraId="37BDB88F">
      <w:pPr>
        <w:pStyle w:val="62"/>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1、</w:t>
      </w:r>
      <w:r>
        <w:rPr>
          <w:rFonts w:ascii="宋体" w:hAnsi="宋体" w:eastAsia="宋体" w:cs="宋体"/>
          <w:kern w:val="2"/>
          <w:sz w:val="24"/>
          <w:szCs w:val="24"/>
        </w:rPr>
        <w:t>施工前准备要求</w:t>
      </w:r>
    </w:p>
    <w:p w14:paraId="045E05CB">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施工前需提交详细施工方案，明确施工范围、步骤、工期、风险点及应急预案，经甲方确认后方可施工。</w:t>
      </w:r>
    </w:p>
    <w:p w14:paraId="2610E6EF">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提前与甲方沟通施工窗口期（避开业务高峰），明确施工影响范围及回退方案，确保业务中断风险可控。</w:t>
      </w:r>
    </w:p>
    <w:p w14:paraId="71781C6A">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准备齐全施工工具、备件、耗材（需符合甲方技术标准），并进行工具校验、备件测试，确保可用性。</w:t>
      </w:r>
    </w:p>
    <w:p w14:paraId="27E6F430">
      <w:pPr>
        <w:pStyle w:val="62"/>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2、</w:t>
      </w:r>
      <w:r>
        <w:rPr>
          <w:rFonts w:ascii="宋体" w:hAnsi="宋体" w:eastAsia="宋体" w:cs="宋体"/>
          <w:kern w:val="2"/>
          <w:sz w:val="24"/>
          <w:szCs w:val="24"/>
        </w:rPr>
        <w:t>施工过程规范要求</w:t>
      </w:r>
    </w:p>
    <w:p w14:paraId="62329BA5">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严格按照施工方案及行业规范操作，施工人员需持证上岗（如网络工程师证、电工证等），穿戴统一工服、防护装备。</w:t>
      </w:r>
    </w:p>
    <w:p w14:paraId="4A89EA59">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施工过程中做好全程记录，包括施工步骤、操作内容、设备参数变更、测试结果等，形成《施工记录表》。</w:t>
      </w:r>
    </w:p>
    <w:p w14:paraId="27F03745">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施工期间保持现场整洁，规范摆放工具、备件，避免影响周边环境及其他设备运行。</w:t>
      </w:r>
    </w:p>
    <w:p w14:paraId="45850ADD">
      <w:pPr>
        <w:pStyle w:val="62"/>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3、</w:t>
      </w:r>
      <w:r>
        <w:rPr>
          <w:rFonts w:ascii="宋体" w:hAnsi="宋体" w:eastAsia="宋体" w:cs="宋体"/>
          <w:kern w:val="2"/>
          <w:sz w:val="24"/>
          <w:szCs w:val="24"/>
        </w:rPr>
        <w:t>施工质量验收要求</w:t>
      </w:r>
    </w:p>
    <w:p w14:paraId="1BFE8DFD">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施工完成后，需进行全面测试（含功能测试、性能测试、稳定性测试、安全测试），测试结果需符合甲方技术标准及行业规范。</w:t>
      </w:r>
    </w:p>
    <w:p w14:paraId="0F99E440">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硬件设备施工后，确保设备运行正常、无故障报警，各项指标（如网络带宽、设备负载、供电稳定性）达标。</w:t>
      </w:r>
    </w:p>
    <w:p w14:paraId="1DD62DB7">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网络施工后，需通过专业工具测试链路连通性、传输速率、误码率，确保网络稳定可靠。</w:t>
      </w:r>
    </w:p>
    <w:p w14:paraId="3CA47D61">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提交完整验收资料，包括施工方案、施工记录表、测试报告、备件清单、竣工图纸等，经甲方签字确认后视为验收通过。</w:t>
      </w:r>
    </w:p>
    <w:p w14:paraId="0D6AB90D">
      <w:pPr>
        <w:pStyle w:val="62"/>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4、</w:t>
      </w:r>
      <w:r>
        <w:rPr>
          <w:rFonts w:ascii="宋体" w:hAnsi="宋体" w:eastAsia="宋体" w:cs="宋体"/>
          <w:kern w:val="2"/>
          <w:sz w:val="24"/>
          <w:szCs w:val="24"/>
        </w:rPr>
        <w:t>安全与合规要求</w:t>
      </w:r>
    </w:p>
    <w:p w14:paraId="5249CDC9">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严格遵守甲方信息安全管理规定，施工过程中不得泄露甲方业务数据、设备配置、网络拓扑等敏感信息，操作留痕可审计。</w:t>
      </w:r>
    </w:p>
    <w:p w14:paraId="74687C58">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施工人员需遵守甲方现场管理规定，服从甲方人员调度，不得擅自操作与施工无关的设备、系统。</w:t>
      </w:r>
    </w:p>
    <w:p w14:paraId="6777447C">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涉及用电、高空、动火等危险施工，需严格执行安全操作规程，落实安全防护措施，避免发生安全事故。</w:t>
      </w:r>
    </w:p>
    <w:p w14:paraId="658B4773">
      <w:pPr>
        <w:pStyle w:val="62"/>
        <w:ind w:firstLine="480" w:firstLineChars="200"/>
        <w:rPr>
          <w:rFonts w:hint="eastAsia" w:ascii="宋体" w:hAnsi="宋体" w:eastAsia="宋体" w:cs="宋体"/>
          <w:kern w:val="2"/>
          <w:sz w:val="24"/>
          <w:szCs w:val="24"/>
        </w:rPr>
      </w:pPr>
      <w:r>
        <w:rPr>
          <w:rFonts w:ascii="宋体" w:hAnsi="宋体" w:eastAsia="宋体" w:cs="宋体"/>
          <w:kern w:val="2"/>
          <w:sz w:val="24"/>
          <w:szCs w:val="24"/>
        </w:rPr>
        <w:t>施工过程需符合国家相关法律法规及行业标准（如《计算机机房设计规范》《综合布线系统工程设计规范》等）。</w:t>
      </w:r>
    </w:p>
    <w:p w14:paraId="2B40F107">
      <w:pPr>
        <w:pStyle w:val="5"/>
        <w:spacing w:before="120" w:after="48"/>
        <w:rPr>
          <w:rFonts w:hint="eastAsia"/>
        </w:rPr>
      </w:pPr>
      <w:r>
        <w:t>设备安装</w:t>
      </w:r>
      <w:r>
        <w:rPr>
          <w:rFonts w:hint="eastAsia"/>
        </w:rPr>
        <w:t>\</w:t>
      </w:r>
      <w:r>
        <w:t>调试</w:t>
      </w:r>
      <w:r>
        <w:rPr>
          <w:rFonts w:hint="eastAsia"/>
        </w:rPr>
        <w:t>与旧设备拆除</w:t>
      </w:r>
      <w:r>
        <w:t>​</w:t>
      </w:r>
    </w:p>
    <w:p w14:paraId="756B62BF">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设备安装：按设计图纸固定机柜、路由器、交换机、无线 AP 等设备，确保安装牢固、散热良好、接线规范，无线 AP 安装位置符合覆盖要求；​</w:t>
      </w:r>
    </w:p>
    <w:p w14:paraId="33B824FC">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基础配置：按设计方案完成设备初始化配置、网络参数配置、路由 / 交换协议配置、安全策略配置；​</w:t>
      </w:r>
    </w:p>
    <w:p w14:paraId="3A6FAB18">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连通性测试：验证各层级设备互联正常，无链路中断问题；​</w:t>
      </w:r>
    </w:p>
    <w:p w14:paraId="69037F7F">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性能测试：测试网络带宽、传输速率、并发接入能力、时延、丢包率，确保达到设计指标；​</w:t>
      </w:r>
    </w:p>
    <w:p w14:paraId="463F2BCA">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安全测试：验证防火墙规则、ACL 策略、加密传输功能有效，抵御常见网络攻击；​</w:t>
      </w:r>
    </w:p>
    <w:p w14:paraId="007FB981">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冗余测试：模拟核心设备 / 链路故障，验证冗余备份机制生效，业务无中断；</w:t>
      </w:r>
    </w:p>
    <w:p w14:paraId="3EFC4A87">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无线测试：测试信号覆盖、漫游切换、接入速率，确保无盲区、无卡顿。​</w:t>
      </w:r>
    </w:p>
    <w:p w14:paraId="6FC3ED84">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新建无线布设完成之后，将医院原有旧无线设备进行拆除，拆除时间需避开医疗业务高峰时段（如门诊就诊高峰、手术时段），优先选择夜间、周末或节假日，具体时间由双方协商确定并提前 3 个工作日报备医院。拆除前必须断开设备电源、网络链路，做好防静电、防坠落防护，避免对周边运行设备、线缆、医疗设施造成损坏。拆除过程中需全程记录操作步骤，拍摄现场照片（拆除前、拆除中、拆除后），确保可追溯；对拆除的线缆端口进行标识封堵，防止灰尘进入或误接入。</w:t>
      </w:r>
    </w:p>
    <w:p w14:paraId="4A7BC967">
      <w:pPr>
        <w:pStyle w:val="5"/>
        <w:spacing w:before="120" w:after="48"/>
        <w:rPr>
          <w:rFonts w:hint="eastAsia"/>
        </w:rPr>
      </w:pPr>
      <w:r>
        <w:t>文档更新</w:t>
      </w:r>
    </w:p>
    <w:p w14:paraId="09EA565A">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根据实际实施情况，更新设计图纸、配置文件、设备清单等文档，确保与现场一致。</w:t>
      </w:r>
    </w:p>
    <w:p w14:paraId="7DFF7DAE">
      <w:pPr>
        <w:pStyle w:val="3"/>
        <w:spacing w:before="120" w:after="48"/>
        <w:rPr>
          <w:rFonts w:hint="eastAsia"/>
        </w:rPr>
      </w:pPr>
      <w:r>
        <w:t>无线勘探设计服务</w:t>
      </w:r>
      <w:r>
        <w:rPr>
          <w:rFonts w:hint="eastAsia"/>
        </w:rPr>
        <w:t>需求</w:t>
      </w:r>
    </w:p>
    <w:p w14:paraId="4D8564E3">
      <w:pPr>
        <w:pStyle w:val="4"/>
        <w:spacing w:before="120" w:after="48"/>
        <w:rPr>
          <w:rFonts w:hint="eastAsia"/>
        </w:rPr>
      </w:pPr>
      <w:r>
        <w:rPr>
          <w:rFonts w:hint="eastAsia"/>
        </w:rPr>
        <w:t>需求背景</w:t>
      </w:r>
    </w:p>
    <w:p w14:paraId="117C28DE">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随着 “互联网 + 医疗” 政策深化与医院数字化转型提速，移动查房、无线监护、电子病历实时录入、PACS 影像无线调阅、远程会诊、手术示教、智慧药房等业务场景已全面渗透至诊疗全流程。当前医院现有无线网络存在三大核心痛点：一是覆盖不均衡，门诊大厅、手术室、地下区域等存在信号盲区，病房区信号穿墙衰减严重；二是性能不足，4K 高清 PACS 影像（单幅 500MB-1GB）传输卡顿、多终端并发接入时带宽拥堵，移动终端漫游切换时延超 50ms；三是安全与合规风险，缺乏针对医疗数据的专项加密与访问控制机制，难以满足《医疗数据安全指南》《网络安全等级保护 2.0》等合规要求。为保障医疗业务 7×24 小时连续稳定运行、提升诊疗服务效率、防范数据安全风险，亟需基于医院现状进行深入的勘查设计，建设一套基于 Wi-Fi 7 领漫游技术的新一代高性能、高可靠、高安全无线网络系统。</w:t>
      </w:r>
    </w:p>
    <w:p w14:paraId="63387C4D">
      <w:pPr>
        <w:pStyle w:val="4"/>
        <w:spacing w:before="120" w:after="48"/>
        <w:rPr>
          <w:rFonts w:hint="eastAsia"/>
        </w:rPr>
      </w:pPr>
      <w:r>
        <w:rPr>
          <w:rFonts w:hint="eastAsia"/>
        </w:rPr>
        <w:t>技术要求</w:t>
      </w:r>
    </w:p>
    <w:p w14:paraId="090583E5">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协议合规性：必须严格符合 IEEE 802.11be（WiFi7）协议标准，支持 4096QAM 高阶调制技术。</w:t>
      </w:r>
    </w:p>
    <w:p w14:paraId="33A1AD93">
      <w:pPr>
        <w:pStyle w:val="5"/>
        <w:spacing w:before="120" w:after="48"/>
        <w:rPr>
          <w:rFonts w:hint="eastAsia"/>
        </w:rPr>
      </w:pPr>
      <w:r>
        <w:rPr>
          <w:rFonts w:hint="eastAsia"/>
        </w:rPr>
        <w:t>射频与带宽配置要求</w:t>
      </w:r>
    </w:p>
    <w:p w14:paraId="5C8CC1E2">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零漫游接入单元（AP）需配置不少于 4 个独立射频模块，支持 8 条空间流（8x8 MIMO），单设备峰值传输速率≥7.1Gbps，满足 4K/8K 影像传输、工业控制指令实时交互等高速场景需求。</w:t>
      </w:r>
    </w:p>
    <w:p w14:paraId="1EF6E102">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支持 MLO（多链路操作）技术，可同时绑定 2.4GHz、5GHz 双频段形成聚合链路，实现数据多路径并行传输，单一频段拥塞或中断时自动切换，保障连接稳定性。</w:t>
      </w:r>
    </w:p>
    <w:p w14:paraId="0022BE68">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支持 MRU（多资源单元）信道划分技术，可根据终端类型动态分配信道资源，提升频谱利用率≥30%；支持 320MHz 超大频宽（国内环境下支持双 5GHz 聚合实现 240MHz 频宽），单频段速率提升至 3.5Gbps 以上。</w:t>
      </w:r>
    </w:p>
    <w:p w14:paraId="4FEF437E">
      <w:pPr>
        <w:pStyle w:val="5"/>
        <w:spacing w:before="120" w:after="48"/>
        <w:rPr>
          <w:rFonts w:hint="eastAsia"/>
        </w:rPr>
      </w:pPr>
      <w:r>
        <w:rPr>
          <w:rFonts w:hint="eastAsia"/>
        </w:rPr>
        <w:t>零漫游核心能力要求</w:t>
      </w:r>
    </w:p>
    <w:p w14:paraId="28FD1CF5">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采用增强型同频网（ASFN）技术，多台 AP 虚拟化为单一 “逻辑接入点”，终端移动时 SSID、BSSID、网络会话保持不变，实现零感知漫游体验。</w:t>
      </w:r>
    </w:p>
    <w:p w14:paraId="114C9F40">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漫游切换时延≤10ms，漫游过程数据包零丢失，TCP 连接不中断，保障 AGV 移动作业、移动医护等对连续性要求极高的业务正常运行。</w:t>
      </w:r>
    </w:p>
    <w:p w14:paraId="43860F39">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支持漫游预判机制，基于终端移动速度、信号强度变化提前建立目标 AP 连接，避免切换卡顿。</w:t>
      </w:r>
    </w:p>
    <w:p w14:paraId="0902E7A9">
      <w:pPr>
        <w:pStyle w:val="5"/>
        <w:spacing w:before="120" w:after="48"/>
        <w:rPr>
          <w:rFonts w:hint="eastAsia"/>
        </w:rPr>
      </w:pPr>
      <w:r>
        <w:rPr>
          <w:rFonts w:hint="eastAsia"/>
        </w:rPr>
        <w:t>覆盖与扩展能力要求</w:t>
      </w:r>
    </w:p>
    <w:p w14:paraId="4F7DEBBA">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单台零漫游 AP 下行可级联≥8 个分布式天线单元（AU），单个 AU 覆盖半径≥15 米（开放空间）或 1 个标准房间（封闭空间），支持穿透 1-2 堵非承重墙。</w:t>
      </w:r>
    </w:p>
    <w:p w14:paraId="2CC9144A">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采用卡扣式快速连接设计，AU 与馈线的插拔时间≤3 秒，提升部署与后期维护效率。</w:t>
      </w:r>
    </w:p>
    <w:p w14:paraId="391C2CEE">
      <w:pPr>
        <w:pStyle w:val="4"/>
        <w:spacing w:before="120" w:after="48"/>
        <w:rPr>
          <w:rFonts w:hint="eastAsia"/>
        </w:rPr>
      </w:pPr>
      <w:r>
        <w:rPr>
          <w:rFonts w:hint="eastAsia"/>
        </w:rPr>
        <w:t>安全与隔离要求</w:t>
      </w:r>
    </w:p>
    <w:p w14:paraId="08F47C55">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三网物理隔离：内网、外网、物联网各自拥有独立的数据处理单元和射频通道，实现物理层面完全隔离，杜绝跨网数据泄露和攻击风险。支持不同网络设置独立 VLAN、路由策略，满足等保合规要求。</w:t>
      </w:r>
    </w:p>
    <w:p w14:paraId="26528280">
      <w:pPr>
        <w:pStyle w:val="5"/>
        <w:spacing w:before="120" w:after="48"/>
        <w:rPr>
          <w:rFonts w:hint="eastAsia"/>
        </w:rPr>
      </w:pPr>
      <w:r>
        <w:rPr>
          <w:rFonts w:hint="eastAsia"/>
        </w:rPr>
        <w:t>接入与传输安全要求</w:t>
      </w:r>
    </w:p>
    <w:p w14:paraId="46653620">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支持 WPA3-Enterprise 加密协议，具备国密算法（SM2/SM4）适配能力，保障数据传输安全。</w:t>
      </w:r>
    </w:p>
    <w:p w14:paraId="33DA4A5C">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具备终端准入控制功能，支持 802.1X 认证、MAC 地址白名单、终端健康状态检测，非法终端禁止接入核心网络。</w:t>
      </w:r>
    </w:p>
    <w:p w14:paraId="58637201">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内置入侵检测与防御系统（IDS/IPS），可识别非法接入点、暴力破解、ARP 欺骗等攻击行为，实时告警并阻断。</w:t>
      </w:r>
    </w:p>
    <w:p w14:paraId="7A196E3F">
      <w:pPr>
        <w:pStyle w:val="5"/>
        <w:spacing w:before="120" w:after="48"/>
        <w:rPr>
          <w:rFonts w:hint="eastAsia"/>
        </w:rPr>
      </w:pPr>
      <w:r>
        <w:rPr>
          <w:rFonts w:hint="eastAsia"/>
        </w:rPr>
        <w:t>高可用冗余设计要求</w:t>
      </w:r>
    </w:p>
    <w:p w14:paraId="3CA75794">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核心设备（AP、无线控制器）支持 N+1 热备份机制，主备设备切换时间≤50ms，保障网络无感知恢复。</w:t>
      </w:r>
    </w:p>
    <w:p w14:paraId="7AD7A9CB">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设备具备过温保护、防雷击（≥6kV）、防电磁干扰能力，适应工业车间、医疗机房等复杂环境。</w:t>
      </w:r>
    </w:p>
    <w:p w14:paraId="3E99D991">
      <w:pPr>
        <w:pStyle w:val="4"/>
        <w:spacing w:before="120" w:after="48"/>
        <w:rPr>
          <w:rFonts w:hint="eastAsia"/>
        </w:rPr>
      </w:pPr>
      <w:r>
        <w:rPr>
          <w:rFonts w:hint="eastAsia"/>
        </w:rPr>
        <w:t>定位与物联网集成</w:t>
      </w:r>
    </w:p>
    <w:p w14:paraId="2F3C5D3A">
      <w:pPr>
        <w:pStyle w:val="5"/>
        <w:spacing w:before="120" w:after="48"/>
        <w:rPr>
          <w:rFonts w:hint="eastAsia"/>
        </w:rPr>
      </w:pPr>
      <w:r>
        <w:rPr>
          <w:rFonts w:hint="eastAsia"/>
        </w:rPr>
        <w:t>精准定位能力</w:t>
      </w:r>
    </w:p>
    <w:p w14:paraId="39D153D6">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每个 AU 支持 WiFi+IoT 双模工作模式，集成信号强度检测、到达时间差（TDoA）定位算法，实现终端房间级定位，定位精度≤3 米。</w:t>
      </w:r>
    </w:p>
    <w:p w14:paraId="2E8A0372">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支持定位数据实时上传，可对接第三方可视化平台，实现终端位置追踪、移动轨迹回放、电子围栏告警等功能。</w:t>
      </w:r>
    </w:p>
    <w:p w14:paraId="7FB309EC">
      <w:pPr>
        <w:pStyle w:val="5"/>
        <w:spacing w:before="120" w:after="48"/>
        <w:rPr>
          <w:rFonts w:hint="eastAsia"/>
        </w:rPr>
      </w:pPr>
      <w:r>
        <w:rPr>
          <w:rFonts w:hint="eastAsia"/>
        </w:rPr>
        <w:t>物联网扩展能力</w:t>
      </w:r>
    </w:p>
    <w:p w14:paraId="129096F4">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零漫游 AP 内置 IoT 扩展接口，支持直接接入蓝牙、Zigbee 等物联网网关，可连接传感器、智能终端等 IoT 设备≥32 台 / AP。</w:t>
      </w:r>
    </w:p>
    <w:p w14:paraId="4FFBB7A0">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支持 MQTT、CoAP 等物联网协议，可与资产管理系统、环境监控平台、工业控制系统无缝对接，实现数据互通共享。</w:t>
      </w:r>
    </w:p>
    <w:p w14:paraId="06C05CAE">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物联网通道支持低功耗模式，适配电池供电类终端，延长设备续航时间≥50%。</w:t>
      </w:r>
    </w:p>
    <w:p w14:paraId="1CB033BD">
      <w:pPr>
        <w:pStyle w:val="4"/>
        <w:spacing w:before="120" w:after="48"/>
        <w:rPr>
          <w:rFonts w:hint="eastAsia"/>
        </w:rPr>
      </w:pPr>
      <w:r>
        <w:rPr>
          <w:rFonts w:hint="eastAsia"/>
        </w:rPr>
        <w:t>部署与兼容性要求</w:t>
      </w:r>
    </w:p>
    <w:p w14:paraId="2EBD99CD">
      <w:pPr>
        <w:pStyle w:val="5"/>
        <w:spacing w:before="120" w:after="48"/>
        <w:rPr>
          <w:rFonts w:hint="eastAsia"/>
        </w:rPr>
      </w:pPr>
      <w:r>
        <w:rPr>
          <w:rFonts w:hint="eastAsia"/>
        </w:rPr>
        <w:t>部署适配</w:t>
      </w:r>
    </w:p>
    <w:p w14:paraId="3AC21388">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1）支持以太网模式：兼容现有网线基础设施，通过 PoE + 供电，无需额外布线；</w:t>
      </w:r>
    </w:p>
    <w:p w14:paraId="42741BE0">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2）支持 PoE+（802.3at）、PoE++（802.3bt）及 DC 12V 三种供电方式，AP 单端口供电功率≥30W，满足 AU 及外接设备供电需求。</w:t>
      </w:r>
    </w:p>
    <w:p w14:paraId="7B5E478C">
      <w:pPr>
        <w:pStyle w:val="5"/>
        <w:spacing w:before="120" w:after="48"/>
        <w:rPr>
          <w:rFonts w:hint="eastAsia"/>
        </w:rPr>
      </w:pPr>
      <w:r>
        <w:rPr>
          <w:rFonts w:hint="eastAsia"/>
        </w:rPr>
        <w:t>终端兼容性</w:t>
      </w:r>
    </w:p>
    <w:p w14:paraId="6AEBCAA1">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向下兼容 IEEE 802.11a/b/g/n/ac/ax 协议，支持 iOS、Android、Windows 等主流操作系统终端。</w:t>
      </w:r>
    </w:p>
    <w:p w14:paraId="72C97D98">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适配医疗 PDA、工业 AGV、无线打印机、高清摄像头、VR 设备等专业终端，支持高密接入场景。</w:t>
      </w:r>
    </w:p>
    <w:p w14:paraId="36E41AD8">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支持终端速率适配机制，根据终端能力动态调整调制方式、带宽参数，确保老旧终端正常接入。</w:t>
      </w:r>
    </w:p>
    <w:p w14:paraId="67E6963A">
      <w:pPr>
        <w:pStyle w:val="4"/>
        <w:spacing w:before="120" w:after="48"/>
        <w:rPr>
          <w:rFonts w:hint="eastAsia"/>
        </w:rPr>
      </w:pPr>
      <w:r>
        <w:rPr>
          <w:rFonts w:hint="eastAsia"/>
        </w:rPr>
        <w:t xml:space="preserve">部署实施 </w:t>
      </w:r>
    </w:p>
    <w:p w14:paraId="141E0D09">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前期勘测：投标人需提供专业团队进行现场勘测，结合目标区域建筑结构、业务分布、终端类型等因素，制定详细的网络拓扑图、AP/AU 部署点位图、布线方案，经招标人确认后实施。</w:t>
      </w:r>
    </w:p>
    <w:p w14:paraId="5FE6BD34">
      <w:pPr>
        <w:pStyle w:val="5"/>
        <w:spacing w:before="120" w:after="48"/>
        <w:rPr>
          <w:rFonts w:hint="eastAsia"/>
        </w:rPr>
      </w:pPr>
      <w:r>
        <w:rPr>
          <w:rFonts w:hint="eastAsia"/>
        </w:rPr>
        <w:t>施工要求</w:t>
      </w:r>
    </w:p>
    <w:p w14:paraId="31F550CE">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AP 安装至走廊天花板内，AU 采用入室安装方式，确保每个关键区域覆盖无死角。</w:t>
      </w:r>
    </w:p>
    <w:p w14:paraId="2B29AB4E">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布线需符合国家相关规范，网线、馈线需穿管保护，避免与强电线路并行敷设，弯曲半径≥线缆直径的 10 倍。</w:t>
      </w:r>
    </w:p>
    <w:p w14:paraId="789D9936">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完成 AP 间时钟同步配置，确保 Beacon 帧发送误差≤200ns，保障同频网协同工作。</w:t>
      </w:r>
    </w:p>
    <w:p w14:paraId="510BB091">
      <w:pPr>
        <w:pStyle w:val="5"/>
        <w:spacing w:before="120" w:after="48"/>
        <w:rPr>
          <w:rFonts w:hint="eastAsia"/>
        </w:rPr>
      </w:pPr>
      <w:r>
        <w:rPr>
          <w:rFonts w:hint="eastAsia"/>
        </w:rPr>
        <w:t>调试优化</w:t>
      </w:r>
    </w:p>
    <w:p w14:paraId="48817F92">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部署完成后进行全面调试，包括信号强度优化、漫游切换测试、带宽性能测试、安全策略配置等。</w:t>
      </w:r>
    </w:p>
    <w:p w14:paraId="2B07D629">
      <w:pPr>
        <w:spacing w:before="1" w:after="48" w:line="364" w:lineRule="auto"/>
        <w:ind w:right="264" w:firstLine="480" w:firstLineChars="200"/>
        <w:rPr>
          <w:rFonts w:hint="eastAsia" w:ascii="宋体" w:hAnsi="宋体" w:eastAsia="宋体" w:cs="宋体"/>
          <w:sz w:val="24"/>
        </w:rPr>
      </w:pPr>
      <w:r>
        <w:rPr>
          <w:rFonts w:hint="eastAsia" w:ascii="宋体" w:hAnsi="宋体" w:eastAsia="宋体" w:cs="宋体"/>
          <w:sz w:val="24"/>
        </w:rPr>
        <w:t>针对医疗场景进行定制化优化，优先保障 HIS/PACS 系统带宽。</w:t>
      </w:r>
    </w:p>
    <w:p w14:paraId="66AFBFBB">
      <w:pPr>
        <w:pStyle w:val="2"/>
        <w:spacing w:before="120" w:after="48"/>
        <w:rPr>
          <w:rFonts w:hint="eastAsia"/>
        </w:rPr>
      </w:pPr>
      <w:r>
        <w:rPr>
          <w:rFonts w:hint="eastAsia"/>
        </w:rPr>
        <w:t>项目建设要求</w:t>
      </w:r>
    </w:p>
    <w:p w14:paraId="7F5B44CB">
      <w:pPr>
        <w:pStyle w:val="3"/>
        <w:spacing w:before="120" w:after="48"/>
        <w:rPr>
          <w:rFonts w:hint="eastAsia"/>
        </w:rPr>
      </w:pPr>
      <w:r>
        <w:rPr>
          <w:rFonts w:hint="eastAsia"/>
        </w:rPr>
        <w:t>人员配置要求</w:t>
      </w:r>
    </w:p>
    <w:p w14:paraId="6B6B141B">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项目负责人：具备 5 年及以上网络规划设计与实施项目管理经验，持有高级网络认证，能统筹项目进度、协调资源、解决核心技术问题；​</w:t>
      </w:r>
    </w:p>
    <w:p w14:paraId="05EF5376">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技术团队：施工人员</w:t>
      </w:r>
      <w:r>
        <w:rPr>
          <w:rFonts w:hint="eastAsia" w:ascii="宋体" w:hAnsi="宋体" w:eastAsia="宋体" w:cs="宋体"/>
          <w:sz w:val="24"/>
        </w:rPr>
        <w:t>须</w:t>
      </w:r>
      <w:r>
        <w:rPr>
          <w:rFonts w:ascii="宋体" w:hAnsi="宋体" w:eastAsia="宋体" w:cs="宋体"/>
          <w:sz w:val="24"/>
        </w:rPr>
        <w:t>具备 3 年及以上相关施工经验，持有电工证、布线工程师认证等相关资质；调试工程师需熟练掌握主流厂商设备配置，具备独立调试能力；</w:t>
      </w:r>
    </w:p>
    <w:p w14:paraId="49618EE3">
      <w:pPr>
        <w:spacing w:before="1" w:after="48" w:line="364" w:lineRule="auto"/>
        <w:ind w:right="264" w:firstLine="480" w:firstLineChars="200"/>
        <w:rPr>
          <w:rFonts w:hint="eastAsia" w:ascii="宋体" w:hAnsi="宋体" w:eastAsia="宋体" w:cs="宋体"/>
          <w:sz w:val="24"/>
        </w:rPr>
      </w:pPr>
      <w:r>
        <w:rPr>
          <w:rFonts w:ascii="宋体" w:hAnsi="宋体" w:eastAsia="宋体" w:cs="宋体"/>
          <w:sz w:val="24"/>
        </w:rPr>
        <w:t>团队配置：根据项目规模，配备足够的施工人员、调试工程师、安全管理员，确保项目按周期推进。</w:t>
      </w:r>
    </w:p>
    <w:p w14:paraId="3EB37D12">
      <w:pPr>
        <w:spacing w:after="48" w:line="460" w:lineRule="exact"/>
        <w:ind w:left="420" w:left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保密要求;</w:t>
      </w:r>
    </w:p>
    <w:p w14:paraId="06D1F6E1">
      <w:pPr>
        <w:numPr>
          <w:ilvl w:val="0"/>
          <w:numId w:val="16"/>
        </w:num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工程师遵守采购人相关信息安全管理制度，对有关信息资料有保密意识。</w:t>
      </w:r>
    </w:p>
    <w:p w14:paraId="3FF8D953">
      <w:pPr>
        <w:numPr>
          <w:ilvl w:val="0"/>
          <w:numId w:val="16"/>
        </w:num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未得到采购人书面同意，服务供应商不得以复制、口述、拍照等方式泄露采购人的各种网络维护纸质和电子信息。</w:t>
      </w:r>
    </w:p>
    <w:p w14:paraId="48B618D9">
      <w:pPr>
        <w:numPr>
          <w:ilvl w:val="0"/>
          <w:numId w:val="16"/>
        </w:num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不得利用网络刺探采购人信息系统业务及管理数据。服务供应商妥善管理好各种维保数据，防止泄密。</w:t>
      </w:r>
    </w:p>
    <w:p w14:paraId="0CE4128E">
      <w:pPr>
        <w:numPr>
          <w:ilvl w:val="0"/>
          <w:numId w:val="16"/>
        </w:num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没有采购人工程师陪同不得私自进入核心和汇聚机房。</w:t>
      </w:r>
    </w:p>
    <w:p w14:paraId="24A87D45">
      <w:pPr>
        <w:pStyle w:val="3"/>
        <w:spacing w:before="120" w:after="48"/>
        <w:rPr>
          <w:rFonts w:hint="eastAsia"/>
        </w:rPr>
      </w:pPr>
      <w:r>
        <w:rPr>
          <w:rFonts w:hint="eastAsia"/>
        </w:rPr>
        <w:t>网络设计原则</w:t>
      </w:r>
    </w:p>
    <w:p w14:paraId="6EDA95E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方案将在追求性能优越、经济实用的前提下，本着总体规划、分步实施的原则，系统总体设计需充分体现系统的技术先进性、高度的安全可靠性、稳定的接入性，良好的开放性、可扩展性，以及经济性。在网络的设计和实现 中，本方案严格遵守以下原则：</w:t>
      </w:r>
    </w:p>
    <w:p w14:paraId="52B6D1C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(1)标准性和开放性</w:t>
      </w:r>
    </w:p>
    <w:p w14:paraId="4A9BBFE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只有支持标准性和开放性的系统，才能支持与其它开放型系统一起协同工作，在网络中采用的硬件设备及软件产品应该支持国际工作标准或事实上的标准。网络采用开放式体系结构，易于扩充，使相对独立的分系统易于进行组合和调整。</w:t>
      </w:r>
    </w:p>
    <w:p w14:paraId="541DC24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(2)先进性和高可靠性</w:t>
      </w:r>
    </w:p>
    <w:p w14:paraId="14B2207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系统所有的组成要素均应充分地考虑其先进性。不能一味地追求实用而忽略先进，只有将当今最先进的技术和我们的实际应用要求紧密结合，才能获得最大的系统性能和效益。可靠性也是衡量一个计算机应用系统的重要标准之一。在确保系统网络环境中单独设备稳定、可靠运行的前提下，还需要考虑网络整体的容错能力、安全性及稳定性，使系统出现问题和故障时能迅速地修复。</w:t>
      </w:r>
    </w:p>
    <w:p w14:paraId="109346F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院无线网络需要持续稳定地运行，因此必须选用高品质的网络设备，并确保网络拓扑结构合理，能够抵抗各种潜在风险。同时，要实施有效的网络监控和故障预警机制，确保一旦出现问题，能够迅速发现并处理，保持网络的连续性和稳定性</w:t>
      </w:r>
    </w:p>
    <w:p w14:paraId="7D159F1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(3)可维护性和可管理性</w:t>
      </w:r>
    </w:p>
    <w:p w14:paraId="4184DB6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整个无线网络系统中的互连设备，应是使用方便、操作简单易学，并便于维护。对复杂和庞大的网络，要求有强有力的网络管理手段，以便合理的管理网络资源，监视网络状态及控制网络的运行，因此，网络所选的网络设备应支持多种协议，管理员能方便进行网络管理、维护甚至修复。</w:t>
      </w:r>
    </w:p>
    <w:p w14:paraId="20E27C34">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要提供友好的用户界面和操作流程，降低使用难度。同时，要提供便捷的网络接入方式，如无线认证、一键连接等，提高的使用体验。</w:t>
      </w:r>
    </w:p>
    <w:p w14:paraId="2BC392AF">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(4)可扩充性和兼容性</w:t>
      </w:r>
    </w:p>
    <w:p w14:paraId="08DF1B7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网络的拓扑结构应具有可扩展性即网络联结必须在系统结构、系统容量与处理能力、物理接连、产品支持等方面具有扩充与升级换代的可能，采用的产品要遵循通用的工业标准，以便不同的设备能方便灵活地接连入网并满足系统规模扩充的要求。</w:t>
      </w:r>
    </w:p>
    <w:p w14:paraId="722D808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需要考虑不同设备和系统之间的兼容性和互操作性。确保各种医疗设备、智能终端等能够顺利接入网络并正常工作，实现信息的共享和互通。</w:t>
      </w:r>
    </w:p>
    <w:p w14:paraId="56A925F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随着医院业务的不断发展和扩大，无线网络也需要不断升级和扩展。因此，在设计网络时，要充分考虑未来的扩展需求，采用模块化、标准化的设计思路，方便后期设备的升级和扩容。同时，要预留足够的网络带宽和端口资源，以满足未来业务增长的需求。</w:t>
      </w:r>
    </w:p>
    <w:p w14:paraId="3221797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(5)无线网络安全性</w:t>
      </w:r>
    </w:p>
    <w:p w14:paraId="493DF88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无线网络属于开放式网络，鉴于医院的特殊性质，在信息化建设中必须加强网络安全防护工作，以完善的策略保护医院网络的安全稳定运行。在终端层面， 需要考虑医院内网中的各种设备的认证准入方式，不同类型的终端需要使用不同的认证方式，并基于终端识别通过状态绑定、地址绑定、端口绑定等形式限制终端设备的准入，保障医疗设备安全接入。在流量层面，持续监测各终端间的互访行为，根据多重条件分析，找出风险终端并进行封堵，不影响正常使用的情况下持续对网络访问流量进行监测，及时阻止风险发生。</w:t>
      </w:r>
    </w:p>
    <w:p w14:paraId="6973A67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实现无线内网与外网分流，外网用户数据不能进入内网，内网用户数据不扩散至外网，保障无线网络的安全性及内外网用户流量隔离的要求。</w:t>
      </w:r>
    </w:p>
    <w:p w14:paraId="14C5D3C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无线系统支持多种加密方式，可以根据实际需要进行选择；采用可靠的用户准入认证模式；可以对每一个用户设置带宽限制。</w:t>
      </w:r>
    </w:p>
    <w:p w14:paraId="045A947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无线外网出口需要配备对应的安全设备，防火墙，流控，和对接网监。</w:t>
      </w:r>
    </w:p>
    <w:p w14:paraId="21FEA04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(6)内网零漫游</w:t>
      </w:r>
    </w:p>
    <w:p w14:paraId="40569D3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零漫游无线网络的核心在于实现无缝漫游，确保医护人员在移动过程中能够保持网络连接的稳定性和连续性。这需要在设计网络时，充分考虑医院建筑的布局特点，采用合适的信号覆盖和切换策略，确保信号覆盖无死角，切换过程平滑无感知。</w:t>
      </w:r>
    </w:p>
    <w:p w14:paraId="55DA9C1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(7)优化网络性能</w:t>
      </w:r>
    </w:p>
    <w:p w14:paraId="3EA2753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医院零漫游无线网络设计还应注重优化网络性能。通过合理的网络规划和配置，降低网络延迟和丢包率，提高数据传输的效率和稳定性。同时，要定期对网络性能进行监测和评估，及时发现问题并进行优化调整。</w:t>
      </w:r>
    </w:p>
    <w:p w14:paraId="7977C9E5">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(8)合规性</w:t>
      </w:r>
    </w:p>
    <w:p w14:paraId="03894D4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医院无线网络的设计和实施必须符合国家相关法规和标准的要求，确保网络的合规性。这包括遵守国家关于医疗数据保护、网络安全等方面的法律法规，以及符合医疗行业相关的技术标准和规范。</w:t>
      </w:r>
    </w:p>
    <w:p w14:paraId="45658237">
      <w:pPr>
        <w:spacing w:after="48"/>
        <w:rPr>
          <w:rFonts w:hint="eastAsia" w:ascii="宋体" w:hAnsi="宋体" w:eastAsia="宋体" w:cs="宋体"/>
        </w:rPr>
      </w:pPr>
    </w:p>
    <w:p w14:paraId="62415C62">
      <w:pPr>
        <w:pStyle w:val="3"/>
        <w:spacing w:before="120" w:after="48"/>
        <w:rPr>
          <w:rFonts w:hint="eastAsia" w:ascii="宋体" w:hAnsi="宋体" w:eastAsia="宋体" w:cs="宋体"/>
        </w:rPr>
      </w:pPr>
      <w:r>
        <w:rPr>
          <w:rFonts w:hint="eastAsia"/>
        </w:rPr>
        <w:t>设计方案要求</w:t>
      </w:r>
    </w:p>
    <w:p w14:paraId="008204B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1、架构规划要求</w:t>
      </w:r>
    </w:p>
    <w:p w14:paraId="16FC275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（1）融合架构设计</w:t>
      </w:r>
      <w:r>
        <w:rPr>
          <w:rFonts w:asciiTheme="majorEastAsia" w:hAnsiTheme="majorEastAsia" w:eastAsiaTheme="majorEastAsia"/>
          <w:color w:val="000000" w:themeColor="text1"/>
          <w:sz w:val="24"/>
          <w14:textFill>
            <w14:solidFill>
              <w14:schemeClr w14:val="tx1"/>
            </w14:solidFill>
          </w14:textFill>
        </w:rPr>
        <w:t>：采用 “无线控制器 + 零漫游 AP” 架构，核心层与汇聚层沿用</w:t>
      </w:r>
      <w:r>
        <w:rPr>
          <w:rFonts w:hint="eastAsia" w:asciiTheme="majorEastAsia" w:hAnsiTheme="majorEastAsia" w:eastAsiaTheme="majorEastAsia"/>
          <w:color w:val="000000" w:themeColor="text1"/>
          <w:sz w:val="24"/>
          <w14:textFill>
            <w14:solidFill>
              <w14:schemeClr w14:val="tx1"/>
            </w14:solidFill>
          </w14:textFill>
        </w:rPr>
        <w:t>现网设备</w:t>
      </w:r>
      <w:r>
        <w:rPr>
          <w:rFonts w:asciiTheme="majorEastAsia" w:hAnsiTheme="majorEastAsia" w:eastAsiaTheme="majorEastAsia"/>
          <w:color w:val="000000" w:themeColor="text1"/>
          <w:sz w:val="24"/>
          <w14:textFill>
            <w14:solidFill>
              <w14:schemeClr w14:val="tx1"/>
            </w14:solidFill>
          </w14:textFill>
        </w:rPr>
        <w:t>，接入层部署 PoE 交换机</w:t>
      </w:r>
      <w:r>
        <w:rPr>
          <w:rFonts w:hint="eastAsia" w:asciiTheme="majorEastAsia" w:hAnsiTheme="majorEastAsia" w:eastAsiaTheme="majorEastAsia"/>
          <w:color w:val="000000" w:themeColor="text1"/>
          <w:sz w:val="24"/>
          <w14:textFill>
            <w14:solidFill>
              <w14:schemeClr w14:val="tx1"/>
            </w14:solidFill>
          </w14:textFill>
        </w:rPr>
        <w:t>，AP通过POE交换机进行供电</w:t>
      </w:r>
      <w:r>
        <w:rPr>
          <w:rFonts w:asciiTheme="majorEastAsia" w:hAnsiTheme="majorEastAsia" w:eastAsiaTheme="majorEastAsia"/>
          <w:color w:val="000000" w:themeColor="text1"/>
          <w:sz w:val="24"/>
          <w14:textFill>
            <w14:solidFill>
              <w14:schemeClr w14:val="tx1"/>
            </w14:solidFill>
          </w14:textFill>
        </w:rPr>
        <w:t>；​</w:t>
      </w:r>
    </w:p>
    <w:p w14:paraId="627E114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r>
        <w:rPr>
          <w:rFonts w:asciiTheme="majorEastAsia" w:hAnsiTheme="majorEastAsia" w:eastAsiaTheme="majorEastAsia"/>
          <w:color w:val="000000" w:themeColor="text1"/>
          <w:sz w:val="24"/>
          <w14:textFill>
            <w14:solidFill>
              <w14:schemeClr w14:val="tx1"/>
            </w14:solidFill>
          </w14:textFill>
        </w:rPr>
        <w:t>零漫游架构部署：实现 “全院一网、一个 IP 跑全院”，保障移动护理、查房终端无感切换；​</w:t>
      </w:r>
    </w:p>
    <w:p w14:paraId="196A43A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（3）网络隔离</w:t>
      </w:r>
      <w:r>
        <w:rPr>
          <w:rFonts w:asciiTheme="majorEastAsia" w:hAnsiTheme="majorEastAsia" w:eastAsiaTheme="majorEastAsia"/>
          <w:color w:val="000000" w:themeColor="text1"/>
          <w:sz w:val="24"/>
          <w14:textFill>
            <w14:solidFill>
              <w14:schemeClr w14:val="tx1"/>
            </w14:solidFill>
          </w14:textFill>
        </w:rPr>
        <w:t>规划：通过多 SSID 隔离能力，同时承载医疗业务网、患者访客网</w:t>
      </w:r>
      <w:r>
        <w:rPr>
          <w:rFonts w:hint="eastAsia" w:asciiTheme="majorEastAsia" w:hAnsiTheme="majorEastAsia" w:eastAsiaTheme="majorEastAsia"/>
          <w:color w:val="000000" w:themeColor="text1"/>
          <w:sz w:val="24"/>
          <w14:textFill>
            <w14:solidFill>
              <w14:schemeClr w14:val="tx1"/>
            </w14:solidFill>
          </w14:textFill>
        </w:rPr>
        <w:t>，</w:t>
      </w:r>
      <w:r>
        <w:rPr>
          <w:rFonts w:asciiTheme="majorEastAsia" w:hAnsiTheme="majorEastAsia" w:eastAsiaTheme="majorEastAsia"/>
          <w:color w:val="000000" w:themeColor="text1"/>
          <w:sz w:val="24"/>
          <w14:textFill>
            <w14:solidFill>
              <w14:schemeClr w14:val="tx1"/>
            </w14:solidFill>
          </w14:textFill>
        </w:rPr>
        <w:t>实现物理隔离、逻辑统一管理，降低建网成本；​</w:t>
      </w:r>
    </w:p>
    <w:p w14:paraId="1CB3025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2、设备选型标准</w:t>
      </w:r>
    </w:p>
    <w:p w14:paraId="1A6D89D1">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（1）AP支持802.11be标准，提升高密接入场景下用户接入容量和带宽，降低业务时延，增强用户体验；</w:t>
      </w:r>
    </w:p>
    <w:p w14:paraId="774CD1F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（2）基于零漫游技术和架构，全病区共享一个信号，PDA等终端在移动过程中零漫游，零丢包；</w:t>
      </w:r>
    </w:p>
    <w:p w14:paraId="591FF60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（3）内网、外网融合部署且物理隔离，安全可靠；</w:t>
      </w:r>
    </w:p>
    <w:p w14:paraId="3A2E49C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3、建设范围</w:t>
      </w:r>
    </w:p>
    <w:p w14:paraId="1CD12BF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本次项目无线网络需实现全院无线网络覆盖，清单需包含</w:t>
      </w:r>
      <w:r>
        <w:rPr>
          <w:rFonts w:hint="eastAsia" w:asciiTheme="majorEastAsia" w:hAnsiTheme="majorEastAsia" w:eastAsiaTheme="majorEastAsia"/>
          <w:color w:val="000000" w:themeColor="text1"/>
          <w:sz w:val="24"/>
          <w:lang w:eastAsia="zh-CN"/>
          <w14:textFill>
            <w14:solidFill>
              <w14:schemeClr w14:val="tx1"/>
            </w14:solidFill>
          </w14:textFill>
        </w:rPr>
        <w:t>有线接入供电节点设备</w:t>
      </w:r>
      <w:r>
        <w:rPr>
          <w:rFonts w:hint="eastAsia" w:asciiTheme="majorEastAsia" w:hAnsiTheme="majorEastAsia" w:eastAsiaTheme="majorEastAsia"/>
          <w:color w:val="000000" w:themeColor="text1"/>
          <w:sz w:val="24"/>
          <w14:textFill>
            <w14:solidFill>
              <w14:schemeClr w14:val="tx1"/>
            </w14:solidFill>
          </w14:textFill>
        </w:rPr>
        <w:t>139台、高密AP 48台、 放装AP 15台、面板AP 14台、WIFI7零漫游AP 736台、 天线单元 4457台、无线控制器 1台、出口防火墙1台、上网行为管理1台、内网AC license 1套、万兆多模光模块1套，配套馈线1套、网管平台扩容1套、网络全量大数据日志审计1台、工程实施服务。在新无线实施完成之后，对现网旧无线网络设备进行拆除。</w:t>
      </w:r>
    </w:p>
    <w:p w14:paraId="1F905FF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4、性能要求</w:t>
      </w:r>
    </w:p>
    <w:p w14:paraId="00BDB01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（1）无线网络接入根据医疗内网、医院职工、患者访客等业务类型区分不同的SSID，并统一由认证平台进行终端接入认证，包括但是不限于密码、portal认证、MAC地址认证、短信认证、对接企业微信认证等；</w:t>
      </w:r>
    </w:p>
    <w:p w14:paraId="081A234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（2）无线网络布点在房间及走廊布设均布设无线点位，避免信号死角，同时通过无线控制器智能调节信号，避免信号重叠干扰；</w:t>
      </w:r>
    </w:p>
    <w:p w14:paraId="6DC80CF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（3）按照零漫游、零丢包、低时延要求对无线网络进行性能测试调优，并输出测试报告。</w:t>
      </w:r>
    </w:p>
    <w:p w14:paraId="2EA76C71">
      <w:pPr>
        <w:pStyle w:val="3"/>
        <w:spacing w:before="120" w:after="48"/>
        <w:rPr>
          <w:rFonts w:hint="eastAsia"/>
        </w:rPr>
      </w:pPr>
      <w:r>
        <w:rPr>
          <w:rFonts w:hint="eastAsia"/>
        </w:rPr>
        <w:t>实施要求</w:t>
      </w:r>
    </w:p>
    <w:p w14:paraId="67F7E62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到货期：合同签订之日起60个日历日内，将项目涉及的货物内容送到指定地点并由进行过验收(签收)。</w:t>
      </w:r>
    </w:p>
    <w:p w14:paraId="2C45E586">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实施工期：合同签订之日起6个月内，完成项目全部内容安装调试并验收。</w:t>
      </w:r>
    </w:p>
    <w:p w14:paraId="108320B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实施地点：中山大学附属第三医院天河院区、中山大学附属第三医院岭南医院。</w:t>
      </w:r>
    </w:p>
    <w:p w14:paraId="118B00EC">
      <w:pPr>
        <w:pStyle w:val="3"/>
        <w:spacing w:before="120" w:after="48"/>
        <w:rPr>
          <w:rFonts w:hint="eastAsia"/>
        </w:rPr>
      </w:pPr>
      <w:r>
        <w:rPr>
          <w:rFonts w:hint="eastAsia"/>
        </w:rPr>
        <w:t>施工要求</w:t>
      </w:r>
    </w:p>
    <w:p w14:paraId="1CAF1B8D">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按照科室要求为本项目提供无线网络相关设备及系统的安装、运输、现场安装、维护、巡检、旧设备拆除等服务，要求6名以上施工人员，施工时要和使用科室先沟通合理施工时间再施工；同时本项目包含以上服务内容的相关费用，不再另外支付费用，本项目所有产品提供三年维保实施服务。并定期组织巡检及维护，同时提供技术支持和技术服务。</w:t>
      </w:r>
    </w:p>
    <w:p w14:paraId="04C0C472">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此项目要求积极配合医院互联互通五级乙等、电子病历六级评审、智慧医院服务评级四级等相关的评审工作。</w:t>
      </w:r>
    </w:p>
    <w:p w14:paraId="723D032E">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配合医院完成安全等级保护2.0项目的改造要求。</w:t>
      </w:r>
    </w:p>
    <w:p w14:paraId="29AFFDA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协助医院完成三甲复审管理相关改造要求。</w:t>
      </w:r>
    </w:p>
    <w:p w14:paraId="5FA22ED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配合医院完成的《医疗信息系统项目管理系统》的实施要求。</w:t>
      </w:r>
    </w:p>
    <w:p w14:paraId="6BEC5CD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项目实施期间，需根科室实际需求对相应施工做出调整。</w:t>
      </w:r>
    </w:p>
    <w:p w14:paraId="65B1FF9D">
      <w:pPr>
        <w:pStyle w:val="3"/>
        <w:spacing w:before="120" w:after="48"/>
        <w:rPr>
          <w:rFonts w:hint="eastAsia"/>
        </w:rPr>
      </w:pPr>
      <w:r>
        <w:rPr>
          <w:rFonts w:hint="eastAsia"/>
        </w:rPr>
        <w:t>售后服务要求</w:t>
      </w:r>
    </w:p>
    <w:p w14:paraId="78A818B3">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次项目中涉及的无线网络相关设备及系统整体验收后包含三年免费维保服务期，如方案有利旧设备则利旧设备也包含建设期与项目验收后的三年免费维保服务期。在三年免费维保服务期内，需免费提供以下服务：</w:t>
      </w:r>
    </w:p>
    <w:p w14:paraId="63C8961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w:t>
      </w:r>
      <w:bookmarkStart w:id="3" w:name="_Hlk149832928"/>
      <w:r>
        <w:rPr>
          <w:rFonts w:hint="eastAsia" w:asciiTheme="majorEastAsia" w:hAnsiTheme="majorEastAsia" w:eastAsiaTheme="majorEastAsia"/>
          <w:color w:val="000000" w:themeColor="text1"/>
          <w:sz w:val="24"/>
          <w14:textFill>
            <w14:solidFill>
              <w14:schemeClr w14:val="tx1"/>
            </w14:solidFill>
          </w14:textFill>
        </w:rPr>
        <w:t>免费维保期内，当硬件设备、系统出现问题时，工程师将及时对问题进行诊断、分析，并解决问题。并对硬件设备、系统进行免费维修、更换零配件维修。</w:t>
      </w:r>
      <w:bookmarkEnd w:id="3"/>
    </w:p>
    <w:p w14:paraId="2132F55B">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bookmarkStart w:id="4" w:name="_Hlk149832937"/>
      <w:r>
        <w:rPr>
          <w:rFonts w:hint="eastAsia" w:asciiTheme="majorEastAsia" w:hAnsiTheme="majorEastAsia" w:eastAsiaTheme="majorEastAsia"/>
          <w:color w:val="000000" w:themeColor="text1"/>
          <w:sz w:val="24"/>
          <w14:textFill>
            <w14:solidFill>
              <w14:schemeClr w14:val="tx1"/>
            </w14:solidFill>
          </w14:textFill>
        </w:rPr>
        <w:t>故障维护：配合解决运行过程中由于设备等原因所产生的无法正常运行的情况，保障设备的正常运行，并在完成故障处理后出具维护报告，包含问题的原因、解决办法及建议。</w:t>
      </w:r>
      <w:bookmarkEnd w:id="4"/>
    </w:p>
    <w:p w14:paraId="3AFB6758">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w:t>
      </w:r>
      <w:bookmarkStart w:id="5" w:name="_Hlk149832951"/>
      <w:r>
        <w:rPr>
          <w:rFonts w:hint="eastAsia" w:asciiTheme="majorEastAsia" w:hAnsiTheme="majorEastAsia" w:eastAsiaTheme="majorEastAsia"/>
          <w:color w:val="000000" w:themeColor="text1"/>
          <w:sz w:val="24"/>
          <w14:textFill>
            <w14:solidFill>
              <w14:schemeClr w14:val="tx1"/>
            </w14:solidFill>
          </w14:textFill>
        </w:rPr>
        <w:t>正确性维护：设备使用过程中新发现的错误，负责维护并及时改进，同时向招标人提供维护说明。</w:t>
      </w:r>
      <w:bookmarkEnd w:id="5"/>
    </w:p>
    <w:p w14:paraId="59B87927">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w:t>
      </w:r>
      <w:bookmarkStart w:id="6" w:name="_Hlk149832960"/>
      <w:r>
        <w:rPr>
          <w:rFonts w:hint="eastAsia" w:asciiTheme="majorEastAsia" w:hAnsiTheme="majorEastAsia" w:eastAsiaTheme="majorEastAsia"/>
          <w:color w:val="000000" w:themeColor="text1"/>
          <w:sz w:val="24"/>
          <w14:textFill>
            <w14:solidFill>
              <w14:schemeClr w14:val="tx1"/>
            </w14:solidFill>
          </w14:textFill>
        </w:rPr>
        <w:t>用户培训：负责设备及系统配置及使用的培训工作，培训对象为技术工程师。投标人同时提供新功能使用说明。</w:t>
      </w:r>
      <w:bookmarkEnd w:id="6"/>
    </w:p>
    <w:p w14:paraId="150CB360">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w:t>
      </w:r>
      <w:bookmarkStart w:id="7" w:name="_Hlk149832969"/>
      <w:r>
        <w:rPr>
          <w:rFonts w:hint="eastAsia" w:asciiTheme="majorEastAsia" w:hAnsiTheme="majorEastAsia" w:eastAsiaTheme="majorEastAsia"/>
          <w:color w:val="000000" w:themeColor="text1"/>
          <w:sz w:val="24"/>
          <w14:textFill>
            <w14:solidFill>
              <w14:schemeClr w14:val="tx1"/>
            </w14:solidFill>
          </w14:textFill>
        </w:rPr>
        <w:t>定时巡检：应对所有线路及设备、系统进行日常维护。经每1个季度进行一次定期现场巡检，对应用的设备进行检查，发现稳定运行的隐患因素、安全漏洞等，应及时排除。出具系统巡检报告，内容包含巡检范围、结果及巡检建议等。</w:t>
      </w:r>
      <w:bookmarkEnd w:id="7"/>
    </w:p>
    <w:p w14:paraId="234A1410">
      <w:pPr>
        <w:spacing w:after="48" w:line="460" w:lineRule="exact"/>
        <w:ind w:firstLine="480" w:firstLineChars="200"/>
        <w:rPr>
          <w:rFonts w:hint="eastAsia" w:ascii="宋体" w:hAnsi="宋体" w:eastAsia="宋体" w:cs="宋体"/>
        </w:rPr>
      </w:pPr>
      <w:r>
        <w:rPr>
          <w:rFonts w:hint="eastAsia" w:asciiTheme="majorEastAsia" w:hAnsiTheme="majorEastAsia" w:eastAsiaTheme="majorEastAsia"/>
          <w:color w:val="000000" w:themeColor="text1"/>
          <w:sz w:val="24"/>
          <w14:textFill>
            <w14:solidFill>
              <w14:schemeClr w14:val="tx1"/>
            </w14:solidFill>
          </w14:textFill>
        </w:rPr>
        <w:t>（6）提供无线网络信号调优服务，并提供相关调优服务报告。</w:t>
      </w:r>
    </w:p>
    <w:p w14:paraId="6BF06767">
      <w:pPr>
        <w:pStyle w:val="3"/>
        <w:spacing w:before="120" w:after="48"/>
        <w:rPr>
          <w:rFonts w:hint="eastAsia"/>
        </w:rPr>
      </w:pPr>
      <w:r>
        <w:rPr>
          <w:rFonts w:hint="eastAsia"/>
        </w:rPr>
        <w:t>验收要求</w:t>
      </w:r>
    </w:p>
    <w:p w14:paraId="00BBC01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交付验收要求：</w:t>
      </w:r>
    </w:p>
    <w:p w14:paraId="3DC5454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(1)采购人对投标人提供的硬件设备及系统在使用前进行调试时，投标人需负责安装并培训采购人的使用操作人员，并协助采购人一起调试，直到符合技术要求，采购人才做最终验收。</w:t>
      </w:r>
    </w:p>
    <w:p w14:paraId="5400094A">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(2)验收时采购方、中标人等项目相关方都必须在现场，验收完毕后一致做出验收结果报告。</w:t>
      </w:r>
    </w:p>
    <w:p w14:paraId="20714649">
      <w:pPr>
        <w:spacing w:after="48" w:line="460" w:lineRule="exact"/>
        <w:ind w:firstLine="480" w:firstLineChars="200"/>
        <w:rPr>
          <w:rFonts w:hint="eastAsia"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(3)相关验收材料：实施进场申请函、硬件签收单、实施清单、原厂证明、用户操作手册（包括：安装手册、操作手册、维护手册）、验收申请、验收报告等。</w:t>
      </w:r>
    </w:p>
    <w:p w14:paraId="34A20F4D">
      <w:pPr>
        <w:pStyle w:val="2"/>
        <w:spacing w:before="120" w:after="48"/>
        <w:rPr>
          <w:rFonts w:hint="eastAsia"/>
        </w:rPr>
      </w:pPr>
      <w:r>
        <w:rPr>
          <w:rFonts w:hint="eastAsia"/>
        </w:rPr>
        <w:t>项目需求清单</w:t>
      </w:r>
    </w:p>
    <w:p w14:paraId="4831B9F7">
      <w:pPr>
        <w:pStyle w:val="3"/>
        <w:spacing w:before="120" w:after="48"/>
        <w:rPr>
          <w:rFonts w:hint="eastAsia"/>
        </w:rPr>
      </w:pPr>
      <w:r>
        <w:rPr>
          <w:rFonts w:hint="eastAsia"/>
        </w:rPr>
        <w:t>需求清单</w:t>
      </w:r>
    </w:p>
    <w:p w14:paraId="36B80D07">
      <w:pPr>
        <w:spacing w:after="48" w:line="360" w:lineRule="auto"/>
        <w:rPr>
          <w:rFonts w:hint="eastAsia" w:ascii="宋体" w:hAnsi="宋体" w:eastAsia="宋体" w:cs="宋体"/>
          <w:sz w:val="24"/>
        </w:rPr>
      </w:pPr>
      <w:r>
        <w:rPr>
          <w:rFonts w:hint="eastAsia" w:ascii="宋体" w:hAnsi="宋体" w:eastAsia="宋体" w:cs="宋体"/>
          <w:sz w:val="24"/>
        </w:rPr>
        <w:t>1、设备类</w:t>
      </w:r>
    </w:p>
    <w:tbl>
      <w:tblPr>
        <w:tblStyle w:val="32"/>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1086"/>
        <w:gridCol w:w="1262"/>
        <w:gridCol w:w="5117"/>
        <w:gridCol w:w="692"/>
        <w:gridCol w:w="673"/>
      </w:tblGrid>
      <w:tr w14:paraId="1D3C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627" w:type="dxa"/>
            <w:noWrap/>
            <w:vAlign w:val="center"/>
          </w:tcPr>
          <w:p w14:paraId="4DD88648">
            <w:pPr>
              <w:spacing w:after="48"/>
              <w:jc w:val="center"/>
              <w:rPr>
                <w:rFonts w:hint="eastAsia" w:ascii="宋体" w:hAnsi="宋体" w:eastAsia="宋体" w:cs="宋体"/>
                <w:b/>
                <w:bCs/>
                <w:sz w:val="24"/>
              </w:rPr>
            </w:pPr>
            <w:r>
              <w:rPr>
                <w:rFonts w:hint="eastAsia" w:ascii="宋体" w:hAnsi="宋体" w:eastAsia="宋体" w:cs="宋体"/>
                <w:b/>
                <w:bCs/>
                <w:sz w:val="24"/>
              </w:rPr>
              <w:t>序号</w:t>
            </w:r>
          </w:p>
        </w:tc>
        <w:tc>
          <w:tcPr>
            <w:tcW w:w="1086" w:type="dxa"/>
            <w:noWrap/>
            <w:vAlign w:val="center"/>
          </w:tcPr>
          <w:p w14:paraId="06A44F9A">
            <w:pPr>
              <w:spacing w:after="48"/>
              <w:jc w:val="center"/>
              <w:rPr>
                <w:rFonts w:hint="eastAsia" w:ascii="宋体" w:hAnsi="宋体" w:eastAsia="宋体" w:cs="宋体"/>
                <w:b/>
                <w:bCs/>
                <w:sz w:val="24"/>
              </w:rPr>
            </w:pPr>
            <w:r>
              <w:rPr>
                <w:rFonts w:hint="eastAsia" w:ascii="宋体" w:hAnsi="宋体" w:eastAsia="宋体" w:cs="宋体"/>
                <w:b/>
                <w:bCs/>
                <w:sz w:val="24"/>
              </w:rPr>
              <w:t>分项</w:t>
            </w:r>
          </w:p>
        </w:tc>
        <w:tc>
          <w:tcPr>
            <w:tcW w:w="1262" w:type="dxa"/>
            <w:noWrap/>
            <w:vAlign w:val="center"/>
          </w:tcPr>
          <w:p w14:paraId="688E7972">
            <w:pPr>
              <w:spacing w:after="48"/>
              <w:jc w:val="center"/>
              <w:rPr>
                <w:rFonts w:hint="eastAsia" w:ascii="宋体" w:hAnsi="宋体" w:eastAsia="宋体" w:cs="宋体"/>
                <w:b/>
                <w:bCs/>
                <w:sz w:val="24"/>
              </w:rPr>
            </w:pPr>
            <w:r>
              <w:rPr>
                <w:rFonts w:hint="eastAsia" w:ascii="宋体" w:hAnsi="宋体" w:eastAsia="宋体" w:cs="宋体"/>
                <w:b/>
                <w:bCs/>
                <w:sz w:val="24"/>
              </w:rPr>
              <w:t>设备</w:t>
            </w:r>
          </w:p>
        </w:tc>
        <w:tc>
          <w:tcPr>
            <w:tcW w:w="5117" w:type="dxa"/>
            <w:noWrap/>
            <w:vAlign w:val="center"/>
          </w:tcPr>
          <w:p w14:paraId="3CD5F497">
            <w:pPr>
              <w:spacing w:after="48"/>
              <w:jc w:val="center"/>
              <w:rPr>
                <w:rFonts w:hint="eastAsia" w:ascii="宋体" w:hAnsi="宋体" w:eastAsia="宋体" w:cs="宋体"/>
                <w:b/>
                <w:bCs/>
                <w:sz w:val="24"/>
              </w:rPr>
            </w:pPr>
            <w:r>
              <w:rPr>
                <w:rFonts w:hint="eastAsia" w:ascii="宋体" w:hAnsi="宋体" w:eastAsia="宋体" w:cs="宋体"/>
                <w:b/>
                <w:bCs/>
                <w:sz w:val="24"/>
              </w:rPr>
              <w:t>设备要求</w:t>
            </w:r>
          </w:p>
        </w:tc>
        <w:tc>
          <w:tcPr>
            <w:tcW w:w="692" w:type="dxa"/>
            <w:vAlign w:val="center"/>
          </w:tcPr>
          <w:p w14:paraId="77150717">
            <w:pPr>
              <w:spacing w:after="48"/>
              <w:jc w:val="center"/>
              <w:rPr>
                <w:rFonts w:hint="eastAsia" w:ascii="宋体" w:hAnsi="宋体" w:eastAsia="宋体" w:cs="宋体"/>
                <w:b/>
                <w:bCs/>
                <w:sz w:val="24"/>
              </w:rPr>
            </w:pPr>
            <w:r>
              <w:rPr>
                <w:rFonts w:hint="eastAsia" w:ascii="宋体" w:hAnsi="宋体" w:eastAsia="宋体" w:cs="宋体"/>
                <w:b/>
                <w:bCs/>
                <w:sz w:val="24"/>
              </w:rPr>
              <w:t>单位</w:t>
            </w:r>
          </w:p>
        </w:tc>
        <w:tc>
          <w:tcPr>
            <w:tcW w:w="673" w:type="dxa"/>
            <w:noWrap/>
            <w:vAlign w:val="center"/>
          </w:tcPr>
          <w:p w14:paraId="7CBDED12">
            <w:pPr>
              <w:spacing w:after="48"/>
              <w:jc w:val="center"/>
              <w:rPr>
                <w:rFonts w:hint="eastAsia" w:ascii="宋体" w:hAnsi="宋体" w:eastAsia="宋体" w:cs="宋体"/>
                <w:b/>
                <w:bCs/>
                <w:sz w:val="24"/>
              </w:rPr>
            </w:pPr>
            <w:r>
              <w:rPr>
                <w:rFonts w:hint="eastAsia" w:ascii="宋体" w:hAnsi="宋体" w:eastAsia="宋体" w:cs="宋体"/>
                <w:b/>
                <w:bCs/>
                <w:sz w:val="24"/>
              </w:rPr>
              <w:t>数量</w:t>
            </w:r>
          </w:p>
        </w:tc>
      </w:tr>
      <w:tr w14:paraId="00CA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7" w:type="dxa"/>
            <w:shd w:val="clear" w:color="auto" w:fill="auto"/>
            <w:noWrap/>
            <w:vAlign w:val="center"/>
          </w:tcPr>
          <w:p w14:paraId="3F641527">
            <w:pPr>
              <w:spacing w:after="48"/>
              <w:jc w:val="center"/>
              <w:rPr>
                <w:rFonts w:hint="eastAsia" w:ascii="宋体" w:hAnsi="宋体" w:eastAsia="宋体" w:cs="宋体"/>
                <w:sz w:val="24"/>
              </w:rPr>
            </w:pPr>
            <w:r>
              <w:rPr>
                <w:rFonts w:hint="eastAsia" w:ascii="宋体" w:hAnsi="宋体" w:eastAsia="宋体" w:cs="宋体"/>
                <w:color w:val="000000"/>
                <w:kern w:val="24"/>
                <w:sz w:val="24"/>
              </w:rPr>
              <w:t>1</w:t>
            </w:r>
          </w:p>
        </w:tc>
        <w:tc>
          <w:tcPr>
            <w:tcW w:w="1086" w:type="dxa"/>
            <w:vAlign w:val="center"/>
          </w:tcPr>
          <w:p w14:paraId="7D8C448B">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网络一体化智慧运维服务</w:t>
            </w:r>
          </w:p>
        </w:tc>
        <w:tc>
          <w:tcPr>
            <w:tcW w:w="1262" w:type="dxa"/>
            <w:vAlign w:val="center"/>
          </w:tcPr>
          <w:p w14:paraId="092E7E5D">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网络一体化智慧运维服务</w:t>
            </w:r>
          </w:p>
        </w:tc>
        <w:tc>
          <w:tcPr>
            <w:tcW w:w="5117" w:type="dxa"/>
          </w:tcPr>
          <w:p w14:paraId="57B25E9F">
            <w:pPr>
              <w:spacing w:after="48"/>
              <w:rPr>
                <w:rFonts w:hint="eastAsia" w:ascii="宋体" w:hAnsi="宋体" w:eastAsia="宋体" w:cs="宋体"/>
                <w:sz w:val="24"/>
              </w:rPr>
            </w:pPr>
            <w:r>
              <w:rPr>
                <w:rFonts w:hint="eastAsia" w:ascii="宋体" w:hAnsi="宋体" w:eastAsia="宋体" w:cs="宋体"/>
                <w:sz w:val="24"/>
              </w:rPr>
              <w:t>以统一平台自动化为核心，对网络、云、服务器、应用、安全、动环等全域 IT 资源，实现统一监控、智能分析、自动处置、全生命周期管理的一站式运维服务。包括可视化监控、系统巡检、日常系统操作、配置维护、应急演练、运行分析、故障处理、重要时期业务保障、感知层数据治理分析与运行监控服务质量保障、监控指标保障。</w:t>
            </w:r>
          </w:p>
        </w:tc>
        <w:tc>
          <w:tcPr>
            <w:tcW w:w="692" w:type="dxa"/>
            <w:vAlign w:val="center"/>
          </w:tcPr>
          <w:p w14:paraId="70E4D360">
            <w:pPr>
              <w:spacing w:after="48"/>
              <w:jc w:val="center"/>
              <w:rPr>
                <w:rFonts w:hint="eastAsia"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项</w:t>
            </w:r>
          </w:p>
        </w:tc>
        <w:tc>
          <w:tcPr>
            <w:tcW w:w="673" w:type="dxa"/>
            <w:noWrap/>
            <w:vAlign w:val="center"/>
          </w:tcPr>
          <w:p w14:paraId="158DED02">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1</w:t>
            </w:r>
          </w:p>
        </w:tc>
      </w:tr>
      <w:tr w14:paraId="1638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627" w:type="dxa"/>
            <w:shd w:val="clear" w:color="auto" w:fill="auto"/>
            <w:noWrap/>
            <w:vAlign w:val="center"/>
          </w:tcPr>
          <w:p w14:paraId="66019CDE">
            <w:pPr>
              <w:spacing w:after="48"/>
              <w:jc w:val="center"/>
              <w:rPr>
                <w:rFonts w:hint="eastAsia" w:ascii="宋体" w:hAnsi="宋体" w:eastAsia="宋体" w:cs="宋体"/>
                <w:sz w:val="24"/>
              </w:rPr>
            </w:pPr>
            <w:r>
              <w:rPr>
                <w:rFonts w:hint="eastAsia" w:ascii="宋体" w:hAnsi="宋体" w:eastAsia="宋体" w:cs="宋体"/>
                <w:color w:val="000000"/>
                <w:kern w:val="24"/>
                <w:sz w:val="24"/>
              </w:rPr>
              <w:t>2</w:t>
            </w:r>
          </w:p>
        </w:tc>
        <w:tc>
          <w:tcPr>
            <w:tcW w:w="1086" w:type="dxa"/>
            <w:vMerge w:val="restart"/>
            <w:vAlign w:val="center"/>
          </w:tcPr>
          <w:p w14:paraId="66EBE935">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无线网络升级改造</w:t>
            </w:r>
          </w:p>
        </w:tc>
        <w:tc>
          <w:tcPr>
            <w:tcW w:w="1262" w:type="dxa"/>
            <w:vAlign w:val="center"/>
          </w:tcPr>
          <w:p w14:paraId="035E8587">
            <w:pPr>
              <w:spacing w:after="48"/>
              <w:jc w:val="center"/>
              <w:rPr>
                <w:rFonts w:hint="eastAsia" w:ascii="宋体" w:hAnsi="宋体" w:eastAsia="宋体" w:cs="宋体"/>
                <w:sz w:val="24"/>
                <w:lang w:eastAsia="zh-CN"/>
              </w:rPr>
            </w:pPr>
            <w:r>
              <w:rPr>
                <w:rFonts w:hint="eastAsia" w:ascii="宋体" w:hAnsi="宋体" w:eastAsia="宋体" w:cs="宋体"/>
                <w:color w:val="000000"/>
                <w:kern w:val="24"/>
                <w:sz w:val="24"/>
                <w:lang w:eastAsia="zh-CN"/>
              </w:rPr>
              <w:t>有线接入供电节点设备</w:t>
            </w:r>
          </w:p>
        </w:tc>
        <w:tc>
          <w:tcPr>
            <w:tcW w:w="5117" w:type="dxa"/>
          </w:tcPr>
          <w:p w14:paraId="5C353567">
            <w:pPr>
              <w:spacing w:after="48"/>
              <w:rPr>
                <w:rFonts w:hint="eastAsia" w:ascii="宋体" w:hAnsi="宋体" w:eastAsia="宋体" w:cs="宋体"/>
                <w:sz w:val="24"/>
              </w:rPr>
            </w:pPr>
            <w:r>
              <w:rPr>
                <w:rFonts w:hint="eastAsia" w:ascii="宋体" w:hAnsi="宋体" w:eastAsia="宋体" w:cs="宋体"/>
                <w:sz w:val="24"/>
              </w:rPr>
              <w:t>设备要求具备线速数据处理能力，整机转发性能不低于200Mpps，总带宽不低于600Gbps；提供不少于48个千兆电接口、4个万兆光接口、2个高速互联接口及1个标准USB管理接口；支持对终端提供集中供电功能，总供电能力不低于800W。</w:t>
            </w:r>
          </w:p>
        </w:tc>
        <w:tc>
          <w:tcPr>
            <w:tcW w:w="692" w:type="dxa"/>
            <w:vAlign w:val="center"/>
          </w:tcPr>
          <w:p w14:paraId="004E9474">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61A1C60F">
            <w:pPr>
              <w:spacing w:after="48"/>
              <w:jc w:val="center"/>
              <w:rPr>
                <w:rFonts w:hint="eastAsia" w:ascii="宋体" w:hAnsi="宋体" w:eastAsia="宋体" w:cs="宋体"/>
                <w:sz w:val="24"/>
              </w:rPr>
            </w:pPr>
            <w:r>
              <w:rPr>
                <w:rFonts w:hint="eastAsia" w:ascii="宋体" w:hAnsi="宋体" w:eastAsia="宋体" w:cs="宋体"/>
                <w:color w:val="000000"/>
                <w:kern w:val="24"/>
                <w:sz w:val="24"/>
              </w:rPr>
              <w:t>139</w:t>
            </w:r>
          </w:p>
        </w:tc>
      </w:tr>
      <w:tr w14:paraId="189F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627" w:type="dxa"/>
            <w:shd w:val="clear" w:color="auto" w:fill="auto"/>
            <w:noWrap/>
            <w:vAlign w:val="center"/>
          </w:tcPr>
          <w:p w14:paraId="00AA28DB">
            <w:pPr>
              <w:spacing w:after="48"/>
              <w:jc w:val="center"/>
              <w:rPr>
                <w:rFonts w:hint="eastAsia" w:ascii="宋体" w:hAnsi="宋体" w:eastAsia="宋体" w:cs="宋体"/>
                <w:sz w:val="24"/>
              </w:rPr>
            </w:pPr>
            <w:r>
              <w:rPr>
                <w:rFonts w:hint="eastAsia" w:ascii="宋体" w:hAnsi="宋体" w:eastAsia="宋体" w:cs="宋体"/>
                <w:color w:val="000000"/>
                <w:kern w:val="24"/>
                <w:sz w:val="24"/>
              </w:rPr>
              <w:t>3</w:t>
            </w:r>
          </w:p>
        </w:tc>
        <w:tc>
          <w:tcPr>
            <w:tcW w:w="1086" w:type="dxa"/>
            <w:vMerge w:val="continue"/>
            <w:vAlign w:val="center"/>
          </w:tcPr>
          <w:p w14:paraId="1AEE0DF0">
            <w:pPr>
              <w:spacing w:after="48"/>
              <w:jc w:val="center"/>
              <w:rPr>
                <w:rFonts w:hint="eastAsia" w:ascii="宋体" w:hAnsi="宋体" w:eastAsia="宋体" w:cs="宋体"/>
                <w:color w:val="000000"/>
                <w:kern w:val="24"/>
                <w:sz w:val="24"/>
              </w:rPr>
            </w:pPr>
          </w:p>
        </w:tc>
        <w:tc>
          <w:tcPr>
            <w:tcW w:w="1262" w:type="dxa"/>
            <w:vAlign w:val="center"/>
          </w:tcPr>
          <w:p w14:paraId="39996264">
            <w:pPr>
              <w:spacing w:after="48"/>
              <w:jc w:val="center"/>
              <w:rPr>
                <w:rFonts w:hint="eastAsia" w:ascii="宋体" w:hAnsi="宋体" w:eastAsia="宋体" w:cs="宋体"/>
                <w:sz w:val="24"/>
              </w:rPr>
            </w:pPr>
            <w:r>
              <w:rPr>
                <w:rFonts w:hint="eastAsia" w:ascii="宋体" w:hAnsi="宋体" w:eastAsia="宋体" w:cs="宋体"/>
                <w:color w:val="000000"/>
                <w:kern w:val="24"/>
                <w:sz w:val="24"/>
              </w:rPr>
              <w:t>高密AP</w:t>
            </w:r>
          </w:p>
        </w:tc>
        <w:tc>
          <w:tcPr>
            <w:tcW w:w="5117" w:type="dxa"/>
          </w:tcPr>
          <w:p w14:paraId="4C607021">
            <w:pPr>
              <w:spacing w:after="48"/>
              <w:rPr>
                <w:rFonts w:hint="eastAsia" w:ascii="宋体" w:hAnsi="宋体" w:eastAsia="宋体" w:cs="宋体"/>
                <w:sz w:val="24"/>
              </w:rPr>
            </w:pPr>
            <w:r>
              <w:rPr>
                <w:rFonts w:hint="eastAsia" w:ascii="宋体" w:hAnsi="宋体" w:eastAsia="宋体" w:cs="宋体"/>
                <w:sz w:val="24"/>
              </w:rPr>
              <w:t>支持802.11a/b/g/n/ac/ac wave2/ax/be，支持2.4G+双5G三射频技术，最高速率不少于9Gbps，不少于1个5G电口+1个1G电口</w:t>
            </w:r>
          </w:p>
        </w:tc>
        <w:tc>
          <w:tcPr>
            <w:tcW w:w="692" w:type="dxa"/>
            <w:vAlign w:val="center"/>
          </w:tcPr>
          <w:p w14:paraId="2ABA8366">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504F98A0">
            <w:pPr>
              <w:spacing w:after="48"/>
              <w:jc w:val="center"/>
              <w:rPr>
                <w:rFonts w:hint="eastAsia" w:ascii="宋体" w:hAnsi="宋体" w:eastAsia="宋体" w:cs="宋体"/>
                <w:sz w:val="24"/>
              </w:rPr>
            </w:pPr>
            <w:r>
              <w:rPr>
                <w:rFonts w:hint="eastAsia" w:ascii="宋体" w:hAnsi="宋体" w:eastAsia="宋体" w:cs="宋体"/>
                <w:color w:val="000000"/>
                <w:kern w:val="24"/>
                <w:sz w:val="24"/>
              </w:rPr>
              <w:t>48</w:t>
            </w:r>
          </w:p>
        </w:tc>
      </w:tr>
      <w:tr w14:paraId="4119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627" w:type="dxa"/>
            <w:shd w:val="clear" w:color="auto" w:fill="auto"/>
            <w:noWrap/>
            <w:vAlign w:val="center"/>
          </w:tcPr>
          <w:p w14:paraId="2966EB39">
            <w:pPr>
              <w:spacing w:after="48"/>
              <w:jc w:val="center"/>
              <w:rPr>
                <w:rFonts w:hint="eastAsia" w:ascii="宋体" w:hAnsi="宋体" w:eastAsia="宋体" w:cs="宋体"/>
                <w:sz w:val="24"/>
              </w:rPr>
            </w:pPr>
            <w:r>
              <w:rPr>
                <w:rFonts w:hint="eastAsia" w:ascii="宋体" w:hAnsi="宋体" w:eastAsia="宋体" w:cs="宋体"/>
                <w:color w:val="000000"/>
                <w:kern w:val="24"/>
                <w:sz w:val="24"/>
              </w:rPr>
              <w:t>4</w:t>
            </w:r>
          </w:p>
        </w:tc>
        <w:tc>
          <w:tcPr>
            <w:tcW w:w="1086" w:type="dxa"/>
            <w:vMerge w:val="continue"/>
            <w:vAlign w:val="center"/>
          </w:tcPr>
          <w:p w14:paraId="6C5AAB0B">
            <w:pPr>
              <w:spacing w:after="48"/>
              <w:jc w:val="center"/>
              <w:rPr>
                <w:rFonts w:hint="eastAsia" w:ascii="宋体" w:hAnsi="宋体" w:eastAsia="宋体" w:cs="宋体"/>
                <w:color w:val="000000"/>
                <w:kern w:val="24"/>
                <w:sz w:val="24"/>
              </w:rPr>
            </w:pPr>
          </w:p>
        </w:tc>
        <w:tc>
          <w:tcPr>
            <w:tcW w:w="1262" w:type="dxa"/>
            <w:vAlign w:val="center"/>
          </w:tcPr>
          <w:p w14:paraId="6D60ADD1">
            <w:pPr>
              <w:spacing w:after="48"/>
              <w:jc w:val="center"/>
              <w:rPr>
                <w:rFonts w:hint="eastAsia" w:ascii="宋体" w:hAnsi="宋体" w:eastAsia="宋体" w:cs="宋体"/>
                <w:sz w:val="24"/>
              </w:rPr>
            </w:pPr>
            <w:r>
              <w:rPr>
                <w:rFonts w:hint="eastAsia" w:ascii="宋体" w:hAnsi="宋体" w:eastAsia="宋体" w:cs="宋体"/>
                <w:color w:val="000000"/>
                <w:kern w:val="24"/>
                <w:sz w:val="24"/>
              </w:rPr>
              <w:t>放装AP</w:t>
            </w:r>
          </w:p>
        </w:tc>
        <w:tc>
          <w:tcPr>
            <w:tcW w:w="5117" w:type="dxa"/>
          </w:tcPr>
          <w:p w14:paraId="30F92FA0">
            <w:pPr>
              <w:spacing w:after="48"/>
              <w:rPr>
                <w:rFonts w:hint="eastAsia" w:ascii="宋体" w:hAnsi="宋体" w:eastAsia="宋体" w:cs="宋体"/>
                <w:sz w:val="24"/>
              </w:rPr>
            </w:pPr>
            <w:r>
              <w:rPr>
                <w:rFonts w:hint="eastAsia" w:ascii="宋体" w:hAnsi="宋体" w:eastAsia="宋体" w:cs="宋体"/>
                <w:sz w:val="24"/>
              </w:rPr>
              <w:t>支持802.11a/b/g/n/ac/ac wave2/ax/be，最高速率不少于3.5Gbps，不少于1个2.5G电口（兼容1G电口）</w:t>
            </w:r>
          </w:p>
        </w:tc>
        <w:tc>
          <w:tcPr>
            <w:tcW w:w="692" w:type="dxa"/>
            <w:vAlign w:val="center"/>
          </w:tcPr>
          <w:p w14:paraId="62A4DAF9">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69717818">
            <w:pPr>
              <w:spacing w:after="48"/>
              <w:jc w:val="center"/>
              <w:rPr>
                <w:rFonts w:hint="eastAsia" w:ascii="宋体" w:hAnsi="宋体" w:eastAsia="宋体" w:cs="宋体"/>
                <w:sz w:val="24"/>
              </w:rPr>
            </w:pPr>
            <w:r>
              <w:rPr>
                <w:rFonts w:hint="eastAsia" w:ascii="宋体" w:hAnsi="宋体" w:eastAsia="宋体" w:cs="宋体"/>
                <w:color w:val="000000"/>
                <w:kern w:val="24"/>
                <w:sz w:val="24"/>
              </w:rPr>
              <w:t>15</w:t>
            </w:r>
          </w:p>
        </w:tc>
      </w:tr>
      <w:tr w14:paraId="03E3C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27" w:type="dxa"/>
            <w:shd w:val="clear" w:color="auto" w:fill="auto"/>
            <w:noWrap/>
            <w:vAlign w:val="center"/>
          </w:tcPr>
          <w:p w14:paraId="79B995FB">
            <w:pPr>
              <w:spacing w:after="48"/>
              <w:jc w:val="center"/>
              <w:rPr>
                <w:rFonts w:hint="eastAsia" w:ascii="宋体" w:hAnsi="宋体" w:eastAsia="宋体" w:cs="宋体"/>
                <w:sz w:val="24"/>
              </w:rPr>
            </w:pPr>
            <w:r>
              <w:rPr>
                <w:rFonts w:hint="eastAsia" w:ascii="宋体" w:hAnsi="宋体" w:eastAsia="宋体" w:cs="宋体"/>
                <w:sz w:val="24"/>
              </w:rPr>
              <w:t>5</w:t>
            </w:r>
          </w:p>
        </w:tc>
        <w:tc>
          <w:tcPr>
            <w:tcW w:w="1086" w:type="dxa"/>
            <w:vMerge w:val="continue"/>
            <w:vAlign w:val="center"/>
          </w:tcPr>
          <w:p w14:paraId="5FBBA44F">
            <w:pPr>
              <w:spacing w:after="48"/>
              <w:jc w:val="center"/>
              <w:rPr>
                <w:rFonts w:hint="eastAsia" w:ascii="宋体" w:hAnsi="宋体" w:eastAsia="宋体" w:cs="宋体"/>
                <w:color w:val="000000"/>
                <w:kern w:val="24"/>
                <w:sz w:val="24"/>
              </w:rPr>
            </w:pPr>
          </w:p>
        </w:tc>
        <w:tc>
          <w:tcPr>
            <w:tcW w:w="1262" w:type="dxa"/>
            <w:vAlign w:val="center"/>
          </w:tcPr>
          <w:p w14:paraId="3C9B5AB8">
            <w:pPr>
              <w:spacing w:after="48"/>
              <w:jc w:val="center"/>
              <w:rPr>
                <w:rFonts w:hint="eastAsia" w:ascii="宋体" w:hAnsi="宋体" w:eastAsia="宋体" w:cs="宋体"/>
                <w:sz w:val="24"/>
              </w:rPr>
            </w:pPr>
            <w:r>
              <w:rPr>
                <w:rFonts w:hint="eastAsia" w:ascii="宋体" w:hAnsi="宋体" w:eastAsia="宋体" w:cs="宋体"/>
                <w:color w:val="000000"/>
                <w:kern w:val="24"/>
                <w:sz w:val="24"/>
              </w:rPr>
              <w:t>面板AP</w:t>
            </w:r>
          </w:p>
        </w:tc>
        <w:tc>
          <w:tcPr>
            <w:tcW w:w="5117" w:type="dxa"/>
          </w:tcPr>
          <w:p w14:paraId="2EF40D87">
            <w:pPr>
              <w:spacing w:after="48"/>
              <w:rPr>
                <w:rFonts w:hint="eastAsia" w:ascii="宋体" w:hAnsi="宋体" w:eastAsia="宋体" w:cs="宋体"/>
                <w:sz w:val="24"/>
              </w:rPr>
            </w:pPr>
            <w:r>
              <w:rPr>
                <w:rFonts w:hint="eastAsia" w:ascii="宋体" w:hAnsi="宋体" w:eastAsia="宋体" w:cs="宋体"/>
                <w:sz w:val="24"/>
              </w:rPr>
              <w:t>支持802.11a/b/g/n/ac/ac wave2/ax/be，最高速率不少于3.5Gbps，不少于1个2.5G电口（兼容1G电口）+5个1G电口</w:t>
            </w:r>
          </w:p>
        </w:tc>
        <w:tc>
          <w:tcPr>
            <w:tcW w:w="692" w:type="dxa"/>
            <w:vAlign w:val="center"/>
          </w:tcPr>
          <w:p w14:paraId="63B7AEDC">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18BC1E51">
            <w:pPr>
              <w:spacing w:after="48"/>
              <w:jc w:val="center"/>
              <w:rPr>
                <w:rFonts w:hint="eastAsia" w:ascii="宋体" w:hAnsi="宋体" w:eastAsia="宋体" w:cs="宋体"/>
                <w:sz w:val="24"/>
              </w:rPr>
            </w:pPr>
            <w:r>
              <w:rPr>
                <w:rFonts w:hint="eastAsia" w:ascii="宋体" w:hAnsi="宋体" w:eastAsia="宋体" w:cs="宋体"/>
                <w:color w:val="000000"/>
                <w:kern w:val="24"/>
                <w:sz w:val="24"/>
              </w:rPr>
              <w:t>14</w:t>
            </w:r>
          </w:p>
        </w:tc>
      </w:tr>
      <w:tr w14:paraId="17DD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7" w:hRule="atLeast"/>
          <w:jc w:val="center"/>
        </w:trPr>
        <w:tc>
          <w:tcPr>
            <w:tcW w:w="627" w:type="dxa"/>
            <w:shd w:val="clear" w:color="auto" w:fill="auto"/>
            <w:noWrap/>
            <w:vAlign w:val="center"/>
          </w:tcPr>
          <w:p w14:paraId="55791D11">
            <w:pPr>
              <w:spacing w:after="48"/>
              <w:jc w:val="center"/>
              <w:rPr>
                <w:rFonts w:hint="eastAsia" w:ascii="宋体" w:hAnsi="宋体" w:eastAsia="宋体" w:cs="宋体"/>
                <w:sz w:val="24"/>
              </w:rPr>
            </w:pPr>
            <w:r>
              <w:rPr>
                <w:rFonts w:hint="eastAsia" w:ascii="宋体" w:hAnsi="宋体" w:eastAsia="宋体" w:cs="宋体"/>
                <w:color w:val="000000"/>
                <w:kern w:val="24"/>
                <w:sz w:val="24"/>
              </w:rPr>
              <w:t>6</w:t>
            </w:r>
          </w:p>
        </w:tc>
        <w:tc>
          <w:tcPr>
            <w:tcW w:w="1086" w:type="dxa"/>
            <w:vMerge w:val="continue"/>
            <w:vAlign w:val="center"/>
          </w:tcPr>
          <w:p w14:paraId="225D0772">
            <w:pPr>
              <w:spacing w:after="48"/>
              <w:jc w:val="center"/>
              <w:rPr>
                <w:rFonts w:hint="eastAsia" w:ascii="宋体" w:hAnsi="宋体" w:eastAsia="宋体" w:cs="宋体"/>
                <w:sz w:val="24"/>
              </w:rPr>
            </w:pPr>
          </w:p>
        </w:tc>
        <w:tc>
          <w:tcPr>
            <w:tcW w:w="1262" w:type="dxa"/>
            <w:vAlign w:val="center"/>
          </w:tcPr>
          <w:p w14:paraId="65F353F6">
            <w:pPr>
              <w:spacing w:after="48"/>
              <w:jc w:val="center"/>
              <w:rPr>
                <w:rFonts w:hint="eastAsia" w:ascii="宋体" w:hAnsi="宋体" w:eastAsia="宋体" w:cs="宋体"/>
                <w:sz w:val="24"/>
              </w:rPr>
            </w:pPr>
            <w:r>
              <w:rPr>
                <w:rFonts w:hint="eastAsia" w:ascii="宋体" w:hAnsi="宋体" w:eastAsia="宋体" w:cs="宋体"/>
                <w:sz w:val="24"/>
              </w:rPr>
              <w:t>零漫游 AP</w:t>
            </w:r>
          </w:p>
        </w:tc>
        <w:tc>
          <w:tcPr>
            <w:tcW w:w="5117" w:type="dxa"/>
          </w:tcPr>
          <w:p w14:paraId="42E9035F">
            <w:pPr>
              <w:spacing w:after="48"/>
              <w:rPr>
                <w:rFonts w:hint="eastAsia" w:ascii="宋体" w:hAnsi="宋体" w:eastAsia="宋体" w:cs="宋体"/>
                <w:sz w:val="24"/>
              </w:rPr>
            </w:pPr>
            <w:r>
              <w:rPr>
                <w:rFonts w:hint="eastAsia" w:ascii="宋体" w:hAnsi="宋体" w:eastAsia="宋体" w:cs="宋体"/>
                <w:sz w:val="24"/>
              </w:rPr>
              <w:t>支持802.11a/b/g/n/ac/ac wave2/ax/be，搭载独立双 CPU 架构与物理基站设计，可实现内网、外网及物联网三网融合与物理隔离，整机支持不少于8空间流，AP 内外网均支持 2.4GHz 及 5GHz 双频并发，整机内网最高速率不少于3.5Gbps，外网最高速率不少于3.5Gbps，内网上行专用接口不少于1个2.5G电口+1个10G光口，外网上行专用接口不少于1个2.5G电口+1个2.5G光口（外网），支持零漫游技术，支持外置天线，支持不少于8个SMA Wi-Fi 射频信号接口，支持物联独立接口不少于2个1G电口+2个SMA物联网基站接口。</w:t>
            </w:r>
          </w:p>
        </w:tc>
        <w:tc>
          <w:tcPr>
            <w:tcW w:w="692" w:type="dxa"/>
            <w:vAlign w:val="center"/>
          </w:tcPr>
          <w:p w14:paraId="003328C9">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45B04F42">
            <w:pPr>
              <w:spacing w:after="48"/>
              <w:jc w:val="center"/>
              <w:rPr>
                <w:rFonts w:hint="eastAsia" w:ascii="宋体" w:hAnsi="宋体" w:eastAsia="宋体" w:cs="宋体"/>
                <w:sz w:val="24"/>
              </w:rPr>
            </w:pPr>
            <w:r>
              <w:rPr>
                <w:rFonts w:hint="eastAsia" w:ascii="宋体" w:hAnsi="宋体" w:eastAsia="宋体" w:cs="宋体"/>
                <w:color w:val="000000"/>
                <w:kern w:val="24"/>
                <w:sz w:val="24"/>
              </w:rPr>
              <w:t>736</w:t>
            </w:r>
          </w:p>
        </w:tc>
      </w:tr>
      <w:tr w14:paraId="6E97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627" w:type="dxa"/>
            <w:shd w:val="clear" w:color="auto" w:fill="auto"/>
            <w:noWrap/>
            <w:vAlign w:val="center"/>
          </w:tcPr>
          <w:p w14:paraId="229A6061">
            <w:pPr>
              <w:spacing w:after="48"/>
              <w:jc w:val="center"/>
              <w:rPr>
                <w:rFonts w:hint="eastAsia" w:ascii="宋体" w:hAnsi="宋体" w:eastAsia="宋体" w:cs="宋体"/>
                <w:sz w:val="24"/>
              </w:rPr>
            </w:pPr>
            <w:r>
              <w:rPr>
                <w:rFonts w:hint="eastAsia" w:ascii="宋体" w:hAnsi="宋体" w:eastAsia="宋体" w:cs="宋体"/>
                <w:color w:val="000000"/>
                <w:kern w:val="24"/>
                <w:sz w:val="24"/>
              </w:rPr>
              <w:t>7</w:t>
            </w:r>
          </w:p>
        </w:tc>
        <w:tc>
          <w:tcPr>
            <w:tcW w:w="1086" w:type="dxa"/>
            <w:vMerge w:val="continue"/>
            <w:vAlign w:val="center"/>
          </w:tcPr>
          <w:p w14:paraId="177020D6">
            <w:pPr>
              <w:spacing w:after="48"/>
              <w:jc w:val="center"/>
              <w:rPr>
                <w:rFonts w:hint="eastAsia" w:ascii="宋体" w:hAnsi="宋体" w:eastAsia="宋体" w:cs="宋体"/>
                <w:sz w:val="24"/>
              </w:rPr>
            </w:pPr>
          </w:p>
        </w:tc>
        <w:tc>
          <w:tcPr>
            <w:tcW w:w="1262" w:type="dxa"/>
            <w:vAlign w:val="center"/>
          </w:tcPr>
          <w:p w14:paraId="43A8830A">
            <w:pPr>
              <w:spacing w:after="48"/>
              <w:jc w:val="center"/>
              <w:rPr>
                <w:rFonts w:hint="eastAsia" w:ascii="宋体" w:hAnsi="宋体" w:eastAsia="宋体" w:cs="宋体"/>
                <w:sz w:val="24"/>
              </w:rPr>
            </w:pPr>
            <w:r>
              <w:rPr>
                <w:rFonts w:hint="eastAsia" w:ascii="宋体" w:hAnsi="宋体" w:eastAsia="宋体" w:cs="宋体"/>
                <w:sz w:val="24"/>
              </w:rPr>
              <w:t>天线单元</w:t>
            </w:r>
          </w:p>
        </w:tc>
        <w:tc>
          <w:tcPr>
            <w:tcW w:w="5117" w:type="dxa"/>
          </w:tcPr>
          <w:p w14:paraId="32B7F38C">
            <w:pPr>
              <w:spacing w:after="48"/>
              <w:rPr>
                <w:rFonts w:hint="eastAsia" w:ascii="宋体" w:hAnsi="宋体" w:eastAsia="宋体" w:cs="宋体"/>
                <w:sz w:val="24"/>
              </w:rPr>
            </w:pPr>
            <w:r>
              <w:rPr>
                <w:rFonts w:hint="eastAsia" w:ascii="宋体" w:hAnsi="宋体" w:eastAsia="宋体" w:cs="宋体"/>
                <w:sz w:val="24"/>
              </w:rPr>
              <w:t>全向天线-2400-2500MHz&amp;5150MHz-5850MHz-3dBi&amp;5dBi-线极化-全向</w:t>
            </w:r>
          </w:p>
        </w:tc>
        <w:tc>
          <w:tcPr>
            <w:tcW w:w="692" w:type="dxa"/>
            <w:vAlign w:val="center"/>
          </w:tcPr>
          <w:p w14:paraId="5606FE53">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6557A665">
            <w:pPr>
              <w:spacing w:after="48"/>
              <w:jc w:val="center"/>
              <w:rPr>
                <w:rFonts w:hint="eastAsia" w:ascii="宋体" w:hAnsi="宋体" w:eastAsia="宋体" w:cs="宋体"/>
                <w:sz w:val="24"/>
              </w:rPr>
            </w:pPr>
            <w:r>
              <w:rPr>
                <w:rFonts w:hint="eastAsia" w:ascii="宋体" w:hAnsi="宋体" w:eastAsia="宋体" w:cs="宋体"/>
                <w:color w:val="000000"/>
                <w:kern w:val="24"/>
                <w:sz w:val="24"/>
              </w:rPr>
              <w:t>4457</w:t>
            </w:r>
          </w:p>
        </w:tc>
      </w:tr>
      <w:tr w14:paraId="5169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27" w:type="dxa"/>
            <w:shd w:val="clear" w:color="auto" w:fill="auto"/>
            <w:noWrap/>
            <w:vAlign w:val="center"/>
          </w:tcPr>
          <w:p w14:paraId="3DA2CE9D">
            <w:pPr>
              <w:spacing w:after="48"/>
              <w:jc w:val="center"/>
              <w:rPr>
                <w:rFonts w:hint="eastAsia" w:ascii="宋体" w:hAnsi="宋体" w:eastAsia="宋体" w:cs="宋体"/>
                <w:sz w:val="24"/>
              </w:rPr>
            </w:pPr>
            <w:r>
              <w:rPr>
                <w:rFonts w:hint="eastAsia" w:ascii="宋体" w:hAnsi="宋体" w:eastAsia="宋体" w:cs="宋体"/>
                <w:color w:val="000000"/>
                <w:kern w:val="24"/>
                <w:sz w:val="24"/>
              </w:rPr>
              <w:t>8</w:t>
            </w:r>
          </w:p>
        </w:tc>
        <w:tc>
          <w:tcPr>
            <w:tcW w:w="1086" w:type="dxa"/>
            <w:vMerge w:val="continue"/>
            <w:vAlign w:val="center"/>
          </w:tcPr>
          <w:p w14:paraId="29DD2831">
            <w:pPr>
              <w:spacing w:after="48"/>
              <w:jc w:val="center"/>
              <w:rPr>
                <w:rFonts w:hint="eastAsia" w:ascii="宋体" w:hAnsi="宋体" w:eastAsia="宋体" w:cs="宋体"/>
                <w:color w:val="000000"/>
                <w:kern w:val="24"/>
                <w:sz w:val="24"/>
              </w:rPr>
            </w:pPr>
          </w:p>
        </w:tc>
        <w:tc>
          <w:tcPr>
            <w:tcW w:w="1262" w:type="dxa"/>
            <w:vAlign w:val="center"/>
          </w:tcPr>
          <w:p w14:paraId="245B9A66">
            <w:pPr>
              <w:spacing w:after="48"/>
              <w:jc w:val="center"/>
              <w:rPr>
                <w:rFonts w:hint="eastAsia" w:ascii="宋体" w:hAnsi="宋体" w:eastAsia="宋体" w:cs="宋体"/>
                <w:sz w:val="24"/>
              </w:rPr>
            </w:pPr>
            <w:r>
              <w:rPr>
                <w:rFonts w:hint="eastAsia" w:ascii="宋体" w:hAnsi="宋体" w:eastAsia="宋体" w:cs="宋体"/>
                <w:color w:val="000000"/>
                <w:kern w:val="24"/>
                <w:sz w:val="24"/>
              </w:rPr>
              <w:t>馈线</w:t>
            </w:r>
          </w:p>
        </w:tc>
        <w:tc>
          <w:tcPr>
            <w:tcW w:w="5117" w:type="dxa"/>
          </w:tcPr>
          <w:p w14:paraId="693EF02D">
            <w:pPr>
              <w:spacing w:after="48"/>
              <w:rPr>
                <w:rFonts w:hint="eastAsia" w:ascii="宋体" w:hAnsi="宋体" w:eastAsia="宋体" w:cs="宋体"/>
                <w:sz w:val="24"/>
              </w:rPr>
            </w:pPr>
            <w:r>
              <w:rPr>
                <w:rFonts w:hint="eastAsia" w:ascii="宋体" w:hAnsi="宋体" w:eastAsia="宋体" w:cs="宋体"/>
                <w:sz w:val="24"/>
              </w:rPr>
              <w:t>含项目所需配件射频电缆组件</w:t>
            </w:r>
          </w:p>
        </w:tc>
        <w:tc>
          <w:tcPr>
            <w:tcW w:w="692" w:type="dxa"/>
            <w:vAlign w:val="center"/>
          </w:tcPr>
          <w:p w14:paraId="2E90E63C">
            <w:pPr>
              <w:spacing w:after="48"/>
              <w:jc w:val="center"/>
              <w:rPr>
                <w:rFonts w:hint="eastAsia" w:ascii="宋体" w:hAnsi="宋体" w:eastAsia="宋体" w:cs="宋体"/>
                <w:sz w:val="24"/>
              </w:rPr>
            </w:pPr>
            <w:r>
              <w:rPr>
                <w:rFonts w:hint="eastAsia" w:ascii="宋体" w:hAnsi="宋体" w:eastAsia="宋体" w:cs="宋体"/>
                <w:color w:val="000000"/>
                <w:kern w:val="24"/>
                <w:sz w:val="24"/>
              </w:rPr>
              <w:t>套</w:t>
            </w:r>
          </w:p>
        </w:tc>
        <w:tc>
          <w:tcPr>
            <w:tcW w:w="673" w:type="dxa"/>
            <w:noWrap/>
            <w:vAlign w:val="center"/>
          </w:tcPr>
          <w:p w14:paraId="07DD5741">
            <w:pPr>
              <w:spacing w:after="48"/>
              <w:jc w:val="center"/>
              <w:rPr>
                <w:rFonts w:hint="eastAsia" w:ascii="宋体" w:hAnsi="宋体" w:eastAsia="宋体" w:cs="宋体"/>
                <w:sz w:val="24"/>
              </w:rPr>
            </w:pPr>
            <w:r>
              <w:rPr>
                <w:rFonts w:hint="eastAsia" w:ascii="宋体" w:hAnsi="宋体" w:eastAsia="宋体" w:cs="宋体"/>
                <w:color w:val="000000"/>
                <w:kern w:val="24"/>
                <w:sz w:val="24"/>
              </w:rPr>
              <w:t>1</w:t>
            </w:r>
          </w:p>
        </w:tc>
      </w:tr>
      <w:tr w14:paraId="5794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627" w:type="dxa"/>
            <w:shd w:val="clear" w:color="auto" w:fill="auto"/>
            <w:noWrap/>
            <w:vAlign w:val="center"/>
          </w:tcPr>
          <w:p w14:paraId="458045D9">
            <w:pPr>
              <w:spacing w:after="48"/>
              <w:jc w:val="center"/>
              <w:rPr>
                <w:rFonts w:hint="eastAsia" w:ascii="宋体" w:hAnsi="宋体" w:eastAsia="宋体" w:cs="宋体"/>
                <w:sz w:val="24"/>
              </w:rPr>
            </w:pPr>
            <w:r>
              <w:rPr>
                <w:rFonts w:hint="eastAsia" w:ascii="宋体" w:hAnsi="宋体" w:eastAsia="宋体" w:cs="宋体"/>
                <w:color w:val="000000"/>
                <w:kern w:val="24"/>
                <w:sz w:val="24"/>
              </w:rPr>
              <w:t>9</w:t>
            </w:r>
          </w:p>
        </w:tc>
        <w:tc>
          <w:tcPr>
            <w:tcW w:w="1086" w:type="dxa"/>
            <w:vMerge w:val="continue"/>
            <w:vAlign w:val="center"/>
          </w:tcPr>
          <w:p w14:paraId="650468DA">
            <w:pPr>
              <w:spacing w:after="48"/>
              <w:jc w:val="center"/>
              <w:rPr>
                <w:rFonts w:hint="eastAsia" w:ascii="宋体" w:hAnsi="宋体" w:eastAsia="宋体" w:cs="宋体"/>
                <w:color w:val="000000"/>
                <w:kern w:val="24"/>
                <w:sz w:val="24"/>
              </w:rPr>
            </w:pPr>
          </w:p>
        </w:tc>
        <w:tc>
          <w:tcPr>
            <w:tcW w:w="1262" w:type="dxa"/>
            <w:vAlign w:val="center"/>
          </w:tcPr>
          <w:p w14:paraId="753756EC">
            <w:pPr>
              <w:spacing w:after="48"/>
              <w:jc w:val="center"/>
              <w:rPr>
                <w:rFonts w:hint="eastAsia" w:ascii="宋体" w:hAnsi="宋体" w:eastAsia="宋体" w:cs="宋体"/>
                <w:sz w:val="24"/>
              </w:rPr>
            </w:pPr>
            <w:r>
              <w:rPr>
                <w:rFonts w:hint="eastAsia" w:ascii="宋体" w:hAnsi="宋体" w:eastAsia="宋体" w:cs="宋体"/>
                <w:color w:val="000000"/>
                <w:kern w:val="24"/>
                <w:sz w:val="24"/>
              </w:rPr>
              <w:t>外网出口防火墙</w:t>
            </w:r>
          </w:p>
        </w:tc>
        <w:tc>
          <w:tcPr>
            <w:tcW w:w="5117" w:type="dxa"/>
          </w:tcPr>
          <w:p w14:paraId="670E92DE">
            <w:pPr>
              <w:spacing w:after="48"/>
              <w:rPr>
                <w:rFonts w:hint="eastAsia" w:ascii="宋体" w:hAnsi="宋体" w:eastAsia="宋体" w:cs="宋体"/>
                <w:sz w:val="24"/>
              </w:rPr>
            </w:pPr>
            <w:r>
              <w:rPr>
                <w:rFonts w:hint="eastAsia" w:ascii="宋体" w:hAnsi="宋体" w:eastAsia="宋体" w:cs="宋体"/>
                <w:sz w:val="24"/>
              </w:rPr>
              <w:t>新增防火墙与现网外网出口防火墙组成双机高可用架构，防火墙防火墙吞吐量不少于25Gbps，最大并发连接数不少于1000万，每秒新建连接数不少于25万，千兆Combo接口不少于8个，千兆电口不少于4个，千兆光口不少于4个，万兆光口不少于6个，配置URL+IPS+AV 特征库升级许可不少于3年</w:t>
            </w:r>
          </w:p>
        </w:tc>
        <w:tc>
          <w:tcPr>
            <w:tcW w:w="692" w:type="dxa"/>
            <w:vAlign w:val="center"/>
          </w:tcPr>
          <w:p w14:paraId="352547A9">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723ADF48">
            <w:pPr>
              <w:spacing w:after="48"/>
              <w:jc w:val="center"/>
              <w:rPr>
                <w:rFonts w:hint="eastAsia" w:ascii="宋体" w:hAnsi="宋体" w:eastAsia="宋体" w:cs="宋体"/>
                <w:sz w:val="24"/>
              </w:rPr>
            </w:pPr>
            <w:r>
              <w:rPr>
                <w:rFonts w:hint="eastAsia" w:ascii="宋体" w:hAnsi="宋体" w:eastAsia="宋体" w:cs="宋体"/>
                <w:color w:val="000000"/>
                <w:kern w:val="24"/>
                <w:sz w:val="24"/>
              </w:rPr>
              <w:t>1</w:t>
            </w:r>
          </w:p>
        </w:tc>
      </w:tr>
      <w:tr w14:paraId="61AD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27" w:type="dxa"/>
            <w:shd w:val="clear" w:color="auto" w:fill="auto"/>
            <w:noWrap/>
            <w:vAlign w:val="center"/>
          </w:tcPr>
          <w:p w14:paraId="7E920277">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10</w:t>
            </w:r>
          </w:p>
        </w:tc>
        <w:tc>
          <w:tcPr>
            <w:tcW w:w="1086" w:type="dxa"/>
            <w:vMerge w:val="continue"/>
            <w:vAlign w:val="center"/>
          </w:tcPr>
          <w:p w14:paraId="4275811F">
            <w:pPr>
              <w:spacing w:after="48"/>
              <w:jc w:val="center"/>
              <w:rPr>
                <w:rFonts w:hint="eastAsia" w:ascii="宋体" w:hAnsi="宋体" w:eastAsia="宋体" w:cs="宋体"/>
                <w:color w:val="000000"/>
                <w:kern w:val="24"/>
                <w:sz w:val="24"/>
              </w:rPr>
            </w:pPr>
          </w:p>
        </w:tc>
        <w:tc>
          <w:tcPr>
            <w:tcW w:w="1262" w:type="dxa"/>
            <w:vAlign w:val="center"/>
          </w:tcPr>
          <w:p w14:paraId="30E75FB3">
            <w:pPr>
              <w:spacing w:after="48"/>
              <w:jc w:val="center"/>
              <w:rPr>
                <w:rFonts w:hint="eastAsia" w:ascii="宋体" w:hAnsi="宋体" w:eastAsia="宋体" w:cs="宋体"/>
                <w:sz w:val="24"/>
              </w:rPr>
            </w:pPr>
            <w:r>
              <w:rPr>
                <w:rFonts w:hint="eastAsia" w:ascii="宋体" w:hAnsi="宋体" w:eastAsia="宋体" w:cs="宋体"/>
                <w:color w:val="000000"/>
                <w:kern w:val="24"/>
                <w:sz w:val="24"/>
              </w:rPr>
              <w:t>上网行为管理</w:t>
            </w:r>
          </w:p>
        </w:tc>
        <w:tc>
          <w:tcPr>
            <w:tcW w:w="5117" w:type="dxa"/>
          </w:tcPr>
          <w:p w14:paraId="374F1CE9">
            <w:pPr>
              <w:spacing w:after="48"/>
              <w:rPr>
                <w:rFonts w:hint="eastAsia" w:ascii="宋体" w:hAnsi="宋体" w:eastAsia="宋体" w:cs="宋体"/>
                <w:sz w:val="24"/>
              </w:rPr>
            </w:pPr>
            <w:r>
              <w:rPr>
                <w:rFonts w:hint="eastAsia" w:ascii="宋体" w:hAnsi="宋体" w:eastAsia="宋体" w:cs="宋体"/>
                <w:sz w:val="24"/>
              </w:rPr>
              <w:t>新增上网行为管理与现网上网行为管理设备组成双机高可用架构，单设备固定接口不少于2千兆电口、4千兆光口、4万兆光口，双电源，实配三年软硬件升级，万兆多模光模块不少于2个，千兆多模光模块不少于2个，适用带宽/吞吐量不少于20Gbps，并发IP不少于 6400，并发会话不少于1280000</w:t>
            </w:r>
          </w:p>
        </w:tc>
        <w:tc>
          <w:tcPr>
            <w:tcW w:w="692" w:type="dxa"/>
            <w:vAlign w:val="center"/>
          </w:tcPr>
          <w:p w14:paraId="7114EA09">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4A6361D7">
            <w:pPr>
              <w:spacing w:after="48"/>
              <w:jc w:val="center"/>
              <w:rPr>
                <w:rFonts w:hint="eastAsia" w:ascii="宋体" w:hAnsi="宋体" w:eastAsia="宋体" w:cs="宋体"/>
                <w:sz w:val="24"/>
              </w:rPr>
            </w:pPr>
            <w:r>
              <w:rPr>
                <w:rFonts w:hint="eastAsia" w:ascii="宋体" w:hAnsi="宋体" w:eastAsia="宋体" w:cs="宋体"/>
                <w:color w:val="000000"/>
                <w:kern w:val="24"/>
                <w:sz w:val="24"/>
              </w:rPr>
              <w:t>1</w:t>
            </w:r>
          </w:p>
        </w:tc>
      </w:tr>
      <w:tr w14:paraId="169E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627" w:type="dxa"/>
            <w:shd w:val="clear" w:color="auto" w:fill="auto"/>
            <w:noWrap/>
            <w:vAlign w:val="center"/>
          </w:tcPr>
          <w:p w14:paraId="5207DC95">
            <w:pPr>
              <w:spacing w:after="48"/>
              <w:jc w:val="center"/>
              <w:rPr>
                <w:rFonts w:hint="eastAsia" w:ascii="宋体" w:hAnsi="宋体" w:eastAsia="宋体" w:cs="宋体"/>
                <w:sz w:val="24"/>
              </w:rPr>
            </w:pPr>
            <w:r>
              <w:rPr>
                <w:rFonts w:hint="eastAsia" w:ascii="宋体" w:hAnsi="宋体" w:eastAsia="宋体" w:cs="宋体"/>
                <w:color w:val="000000"/>
                <w:kern w:val="24"/>
                <w:sz w:val="24"/>
              </w:rPr>
              <w:t>11</w:t>
            </w:r>
          </w:p>
        </w:tc>
        <w:tc>
          <w:tcPr>
            <w:tcW w:w="1086" w:type="dxa"/>
            <w:vMerge w:val="continue"/>
            <w:vAlign w:val="center"/>
          </w:tcPr>
          <w:p w14:paraId="12A62E34">
            <w:pPr>
              <w:spacing w:after="48"/>
              <w:jc w:val="center"/>
              <w:rPr>
                <w:rFonts w:hint="eastAsia" w:ascii="宋体" w:hAnsi="宋体" w:eastAsia="宋体" w:cs="宋体"/>
                <w:color w:val="000000"/>
                <w:kern w:val="24"/>
                <w:sz w:val="24"/>
              </w:rPr>
            </w:pPr>
          </w:p>
        </w:tc>
        <w:tc>
          <w:tcPr>
            <w:tcW w:w="1262" w:type="dxa"/>
            <w:vAlign w:val="center"/>
          </w:tcPr>
          <w:p w14:paraId="0C472DDA">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网络全量大数据日志审计</w:t>
            </w:r>
          </w:p>
        </w:tc>
        <w:tc>
          <w:tcPr>
            <w:tcW w:w="5117" w:type="dxa"/>
          </w:tcPr>
          <w:p w14:paraId="21B6B713">
            <w:pPr>
              <w:spacing w:after="48"/>
              <w:rPr>
                <w:rFonts w:hint="eastAsia" w:ascii="宋体" w:hAnsi="宋体" w:eastAsia="宋体" w:cs="宋体"/>
                <w:sz w:val="24"/>
              </w:rPr>
            </w:pPr>
            <w:r>
              <w:rPr>
                <w:rFonts w:hint="eastAsia" w:ascii="宋体" w:hAnsi="宋体" w:eastAsia="宋体" w:cs="宋体"/>
                <w:sz w:val="24"/>
              </w:rPr>
              <w:t>机架式设备；1个2.5G（兼容GE）MGT管理口，2个2.5GE电口(兼容GE)、2个10G光口；双交流电源；CPU 8核心；内存32GB；配置磁盘空间16TB；会话信息: 1:1 留存，完整记录每一条会话信息的访问时间、源地址、目的地址、用户账号、域名信息、地理位置等信息，出现问题后，按需溯源；</w:t>
            </w:r>
          </w:p>
        </w:tc>
        <w:tc>
          <w:tcPr>
            <w:tcW w:w="692" w:type="dxa"/>
            <w:vAlign w:val="center"/>
          </w:tcPr>
          <w:p w14:paraId="799A1430">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台</w:t>
            </w:r>
          </w:p>
        </w:tc>
        <w:tc>
          <w:tcPr>
            <w:tcW w:w="673" w:type="dxa"/>
            <w:noWrap/>
            <w:vAlign w:val="center"/>
          </w:tcPr>
          <w:p w14:paraId="27056FCC">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1</w:t>
            </w:r>
          </w:p>
        </w:tc>
      </w:tr>
      <w:tr w14:paraId="3B1A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627" w:type="dxa"/>
            <w:shd w:val="clear" w:color="auto" w:fill="auto"/>
            <w:noWrap/>
            <w:vAlign w:val="center"/>
          </w:tcPr>
          <w:p w14:paraId="60E29B09">
            <w:pPr>
              <w:spacing w:after="48"/>
              <w:jc w:val="center"/>
              <w:rPr>
                <w:rFonts w:hint="eastAsia" w:ascii="宋体" w:hAnsi="宋体" w:eastAsia="宋体" w:cs="宋体"/>
                <w:sz w:val="24"/>
              </w:rPr>
            </w:pPr>
            <w:r>
              <w:rPr>
                <w:rFonts w:hint="eastAsia" w:ascii="宋体" w:hAnsi="宋体" w:eastAsia="宋体" w:cs="宋体"/>
                <w:color w:val="000000"/>
                <w:kern w:val="24"/>
                <w:sz w:val="24"/>
              </w:rPr>
              <w:t>12</w:t>
            </w:r>
          </w:p>
        </w:tc>
        <w:tc>
          <w:tcPr>
            <w:tcW w:w="1086" w:type="dxa"/>
            <w:vMerge w:val="continue"/>
            <w:vAlign w:val="center"/>
          </w:tcPr>
          <w:p w14:paraId="7062A1E0">
            <w:pPr>
              <w:spacing w:after="48"/>
              <w:jc w:val="center"/>
              <w:rPr>
                <w:rFonts w:hint="eastAsia" w:ascii="宋体" w:hAnsi="宋体" w:eastAsia="宋体" w:cs="宋体"/>
                <w:color w:val="000000"/>
                <w:kern w:val="24"/>
                <w:sz w:val="24"/>
              </w:rPr>
            </w:pPr>
          </w:p>
        </w:tc>
        <w:tc>
          <w:tcPr>
            <w:tcW w:w="1262" w:type="dxa"/>
            <w:vAlign w:val="center"/>
          </w:tcPr>
          <w:p w14:paraId="12E90703">
            <w:pPr>
              <w:spacing w:after="48"/>
              <w:jc w:val="center"/>
              <w:rPr>
                <w:rFonts w:hint="eastAsia" w:ascii="宋体" w:hAnsi="宋体" w:eastAsia="宋体" w:cs="宋体"/>
                <w:sz w:val="24"/>
              </w:rPr>
            </w:pPr>
            <w:r>
              <w:rPr>
                <w:rFonts w:hint="eastAsia" w:ascii="宋体" w:hAnsi="宋体" w:eastAsia="宋体" w:cs="宋体"/>
                <w:color w:val="000000"/>
                <w:kern w:val="24"/>
                <w:sz w:val="24"/>
              </w:rPr>
              <w:t>外网无线控制器</w:t>
            </w:r>
          </w:p>
        </w:tc>
        <w:tc>
          <w:tcPr>
            <w:tcW w:w="5117" w:type="dxa"/>
          </w:tcPr>
          <w:p w14:paraId="10BEC2A7">
            <w:pPr>
              <w:spacing w:after="48"/>
              <w:rPr>
                <w:rFonts w:hint="eastAsia" w:ascii="宋体" w:hAnsi="宋体" w:eastAsia="宋体" w:cs="宋体"/>
                <w:sz w:val="24"/>
              </w:rPr>
            </w:pPr>
            <w:r>
              <w:rPr>
                <w:rFonts w:hint="eastAsia" w:ascii="宋体" w:hAnsi="宋体" w:eastAsia="宋体" w:cs="宋体"/>
                <w:sz w:val="24"/>
              </w:rPr>
              <w:t>单台AC最大管理AP数量不少10K，配套本次项目无线AP管理授权，三层转发吞吐量不少于160Gbps，需要与现网外网无线控制器组成双机</w:t>
            </w:r>
          </w:p>
        </w:tc>
        <w:tc>
          <w:tcPr>
            <w:tcW w:w="692" w:type="dxa"/>
            <w:vAlign w:val="center"/>
          </w:tcPr>
          <w:p w14:paraId="013E3BDE">
            <w:pPr>
              <w:spacing w:after="48"/>
              <w:jc w:val="center"/>
              <w:rPr>
                <w:rFonts w:hint="eastAsia" w:ascii="宋体" w:hAnsi="宋体" w:eastAsia="宋体" w:cs="宋体"/>
                <w:sz w:val="24"/>
              </w:rPr>
            </w:pPr>
            <w:r>
              <w:rPr>
                <w:rFonts w:hint="eastAsia" w:ascii="宋体" w:hAnsi="宋体" w:eastAsia="宋体" w:cs="宋体"/>
                <w:color w:val="000000"/>
                <w:kern w:val="24"/>
                <w:sz w:val="24"/>
              </w:rPr>
              <w:t>台</w:t>
            </w:r>
          </w:p>
        </w:tc>
        <w:tc>
          <w:tcPr>
            <w:tcW w:w="673" w:type="dxa"/>
            <w:noWrap/>
            <w:vAlign w:val="center"/>
          </w:tcPr>
          <w:p w14:paraId="4B8B53CB">
            <w:pPr>
              <w:spacing w:after="48"/>
              <w:jc w:val="center"/>
              <w:rPr>
                <w:rFonts w:hint="eastAsia" w:ascii="宋体" w:hAnsi="宋体" w:eastAsia="宋体" w:cs="宋体"/>
                <w:sz w:val="24"/>
              </w:rPr>
            </w:pPr>
            <w:r>
              <w:rPr>
                <w:rFonts w:hint="eastAsia" w:ascii="宋体" w:hAnsi="宋体" w:eastAsia="宋体" w:cs="宋体"/>
                <w:color w:val="000000"/>
                <w:kern w:val="24"/>
                <w:sz w:val="24"/>
              </w:rPr>
              <w:t>1</w:t>
            </w:r>
          </w:p>
        </w:tc>
      </w:tr>
      <w:tr w14:paraId="5241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27" w:type="dxa"/>
            <w:shd w:val="clear" w:color="auto" w:fill="auto"/>
            <w:noWrap/>
            <w:vAlign w:val="center"/>
          </w:tcPr>
          <w:p w14:paraId="7F5478AB">
            <w:pPr>
              <w:spacing w:after="48"/>
              <w:jc w:val="center"/>
              <w:rPr>
                <w:rFonts w:hint="eastAsia" w:ascii="宋体" w:hAnsi="宋体" w:eastAsia="宋体" w:cs="宋体"/>
                <w:sz w:val="24"/>
              </w:rPr>
            </w:pPr>
            <w:r>
              <w:rPr>
                <w:rFonts w:hint="eastAsia" w:ascii="宋体" w:hAnsi="宋体" w:eastAsia="宋体" w:cs="宋体"/>
                <w:color w:val="000000"/>
                <w:kern w:val="24"/>
                <w:sz w:val="24"/>
              </w:rPr>
              <w:t>13</w:t>
            </w:r>
          </w:p>
        </w:tc>
        <w:tc>
          <w:tcPr>
            <w:tcW w:w="1086" w:type="dxa"/>
            <w:vMerge w:val="continue"/>
            <w:vAlign w:val="center"/>
          </w:tcPr>
          <w:p w14:paraId="66A6371F">
            <w:pPr>
              <w:spacing w:after="48"/>
              <w:jc w:val="center"/>
              <w:rPr>
                <w:rFonts w:hint="eastAsia" w:ascii="宋体" w:hAnsi="宋体" w:eastAsia="宋体" w:cs="宋体"/>
                <w:color w:val="000000"/>
                <w:kern w:val="24"/>
                <w:sz w:val="24"/>
              </w:rPr>
            </w:pPr>
          </w:p>
        </w:tc>
        <w:tc>
          <w:tcPr>
            <w:tcW w:w="1262" w:type="dxa"/>
            <w:vAlign w:val="center"/>
          </w:tcPr>
          <w:p w14:paraId="119D9BF9">
            <w:pPr>
              <w:spacing w:after="48"/>
              <w:jc w:val="center"/>
              <w:rPr>
                <w:rFonts w:hint="eastAsia" w:ascii="宋体" w:hAnsi="宋体" w:eastAsia="宋体" w:cs="宋体"/>
                <w:color w:val="000000"/>
                <w:sz w:val="24"/>
              </w:rPr>
            </w:pPr>
            <w:r>
              <w:rPr>
                <w:rFonts w:hint="eastAsia" w:ascii="宋体" w:hAnsi="宋体" w:eastAsia="宋体" w:cs="宋体"/>
                <w:color w:val="000000"/>
                <w:kern w:val="24"/>
                <w:sz w:val="24"/>
              </w:rPr>
              <w:t>内网无线控制器license</w:t>
            </w:r>
          </w:p>
        </w:tc>
        <w:tc>
          <w:tcPr>
            <w:tcW w:w="5117" w:type="dxa"/>
          </w:tcPr>
          <w:p w14:paraId="66754EA9">
            <w:pPr>
              <w:spacing w:after="48"/>
              <w:rPr>
                <w:rFonts w:hint="eastAsia" w:ascii="宋体" w:hAnsi="宋体" w:eastAsia="宋体" w:cs="宋体"/>
                <w:sz w:val="24"/>
              </w:rPr>
            </w:pPr>
            <w:r>
              <w:rPr>
                <w:rFonts w:hint="eastAsia" w:ascii="宋体" w:hAnsi="宋体" w:eastAsia="宋体" w:cs="宋体"/>
                <w:sz w:val="24"/>
              </w:rPr>
              <w:t>满足本次项目无线设备需求license</w:t>
            </w:r>
          </w:p>
        </w:tc>
        <w:tc>
          <w:tcPr>
            <w:tcW w:w="692" w:type="dxa"/>
            <w:vAlign w:val="center"/>
          </w:tcPr>
          <w:p w14:paraId="3D5793DE">
            <w:pPr>
              <w:spacing w:after="48"/>
              <w:jc w:val="center"/>
              <w:rPr>
                <w:rFonts w:hint="eastAsia" w:ascii="宋体" w:hAnsi="宋体" w:eastAsia="宋体" w:cs="宋体"/>
                <w:color w:val="000000"/>
                <w:sz w:val="24"/>
              </w:rPr>
            </w:pPr>
            <w:r>
              <w:rPr>
                <w:rFonts w:hint="eastAsia" w:ascii="宋体" w:hAnsi="宋体" w:eastAsia="宋体" w:cs="宋体"/>
                <w:color w:val="000000"/>
                <w:kern w:val="24"/>
                <w:sz w:val="24"/>
              </w:rPr>
              <w:t>套</w:t>
            </w:r>
          </w:p>
        </w:tc>
        <w:tc>
          <w:tcPr>
            <w:tcW w:w="673" w:type="dxa"/>
            <w:noWrap/>
            <w:vAlign w:val="center"/>
          </w:tcPr>
          <w:p w14:paraId="63D089C2">
            <w:pPr>
              <w:spacing w:after="48"/>
              <w:jc w:val="center"/>
              <w:rPr>
                <w:rFonts w:hint="eastAsia" w:ascii="宋体" w:hAnsi="宋体" w:eastAsia="宋体" w:cs="宋体"/>
                <w:sz w:val="24"/>
              </w:rPr>
            </w:pPr>
            <w:r>
              <w:rPr>
                <w:rFonts w:hint="eastAsia" w:ascii="宋体" w:hAnsi="宋体" w:eastAsia="宋体" w:cs="宋体"/>
                <w:color w:val="000000"/>
                <w:kern w:val="24"/>
                <w:sz w:val="24"/>
              </w:rPr>
              <w:t>1</w:t>
            </w:r>
          </w:p>
        </w:tc>
      </w:tr>
      <w:tr w14:paraId="1CFA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27" w:type="dxa"/>
            <w:shd w:val="clear" w:color="auto" w:fill="auto"/>
            <w:noWrap/>
            <w:vAlign w:val="center"/>
          </w:tcPr>
          <w:p w14:paraId="3E0B38C9">
            <w:pPr>
              <w:spacing w:after="48"/>
              <w:jc w:val="center"/>
              <w:rPr>
                <w:rFonts w:hint="eastAsia" w:ascii="宋体" w:hAnsi="宋体" w:eastAsia="宋体" w:cs="宋体"/>
                <w:sz w:val="24"/>
              </w:rPr>
            </w:pPr>
            <w:r>
              <w:rPr>
                <w:rFonts w:hint="eastAsia" w:ascii="宋体" w:hAnsi="宋体" w:eastAsia="宋体" w:cs="宋体"/>
                <w:color w:val="000000"/>
                <w:kern w:val="24"/>
                <w:sz w:val="24"/>
              </w:rPr>
              <w:t>14</w:t>
            </w:r>
          </w:p>
        </w:tc>
        <w:tc>
          <w:tcPr>
            <w:tcW w:w="1086" w:type="dxa"/>
            <w:vMerge w:val="continue"/>
            <w:vAlign w:val="center"/>
          </w:tcPr>
          <w:p w14:paraId="4F8E5A99">
            <w:pPr>
              <w:spacing w:after="48"/>
              <w:jc w:val="center"/>
              <w:rPr>
                <w:rFonts w:hint="eastAsia" w:ascii="宋体" w:hAnsi="宋体" w:eastAsia="宋体" w:cs="宋体"/>
                <w:color w:val="000000"/>
                <w:kern w:val="24"/>
                <w:sz w:val="24"/>
              </w:rPr>
            </w:pPr>
          </w:p>
        </w:tc>
        <w:tc>
          <w:tcPr>
            <w:tcW w:w="1262" w:type="dxa"/>
            <w:vAlign w:val="center"/>
          </w:tcPr>
          <w:p w14:paraId="233688C9">
            <w:pPr>
              <w:spacing w:after="48"/>
              <w:jc w:val="center"/>
              <w:rPr>
                <w:rFonts w:hint="eastAsia" w:ascii="宋体" w:hAnsi="宋体" w:eastAsia="宋体" w:cs="宋体"/>
                <w:sz w:val="24"/>
              </w:rPr>
            </w:pPr>
            <w:r>
              <w:rPr>
                <w:rFonts w:hint="eastAsia" w:ascii="宋体" w:hAnsi="宋体" w:eastAsia="宋体" w:cs="宋体"/>
                <w:color w:val="000000"/>
                <w:kern w:val="24"/>
                <w:sz w:val="24"/>
              </w:rPr>
              <w:t>万兆多模光模块</w:t>
            </w:r>
          </w:p>
        </w:tc>
        <w:tc>
          <w:tcPr>
            <w:tcW w:w="5117" w:type="dxa"/>
            <w:vAlign w:val="center"/>
          </w:tcPr>
          <w:p w14:paraId="7E2A3B64">
            <w:pPr>
              <w:spacing w:after="48"/>
              <w:rPr>
                <w:rFonts w:hint="eastAsia" w:ascii="宋体" w:hAnsi="宋体" w:eastAsia="宋体" w:cs="宋体"/>
                <w:sz w:val="24"/>
              </w:rPr>
            </w:pPr>
            <w:r>
              <w:rPr>
                <w:rFonts w:hint="eastAsia" w:ascii="宋体" w:hAnsi="宋体" w:eastAsia="宋体" w:cs="宋体"/>
                <w:sz w:val="24"/>
              </w:rPr>
              <w:t>配套556个10G多模光模块，最长传输距离300米</w:t>
            </w:r>
          </w:p>
        </w:tc>
        <w:tc>
          <w:tcPr>
            <w:tcW w:w="692" w:type="dxa"/>
            <w:vAlign w:val="center"/>
          </w:tcPr>
          <w:p w14:paraId="35356A42">
            <w:pPr>
              <w:spacing w:after="48"/>
              <w:jc w:val="center"/>
              <w:rPr>
                <w:rFonts w:hint="eastAsia" w:ascii="宋体" w:hAnsi="宋体" w:eastAsia="宋体" w:cs="宋体"/>
                <w:sz w:val="24"/>
              </w:rPr>
            </w:pPr>
            <w:r>
              <w:rPr>
                <w:rFonts w:hint="eastAsia" w:ascii="宋体" w:hAnsi="宋体" w:eastAsia="宋体" w:cs="宋体"/>
                <w:sz w:val="24"/>
              </w:rPr>
              <w:t>套</w:t>
            </w:r>
          </w:p>
        </w:tc>
        <w:tc>
          <w:tcPr>
            <w:tcW w:w="673" w:type="dxa"/>
            <w:noWrap/>
            <w:vAlign w:val="center"/>
          </w:tcPr>
          <w:p w14:paraId="5D3A346D">
            <w:pPr>
              <w:spacing w:after="48"/>
              <w:jc w:val="center"/>
              <w:rPr>
                <w:rFonts w:hint="eastAsia" w:ascii="宋体" w:hAnsi="宋体" w:eastAsia="宋体" w:cs="宋体"/>
                <w:sz w:val="24"/>
              </w:rPr>
            </w:pPr>
            <w:r>
              <w:rPr>
                <w:rFonts w:hint="eastAsia" w:ascii="宋体" w:hAnsi="宋体" w:eastAsia="宋体" w:cs="宋体"/>
                <w:sz w:val="24"/>
              </w:rPr>
              <w:t>1</w:t>
            </w:r>
          </w:p>
        </w:tc>
      </w:tr>
      <w:tr w14:paraId="3D05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27" w:type="dxa"/>
            <w:shd w:val="clear" w:color="auto" w:fill="auto"/>
            <w:noWrap/>
            <w:vAlign w:val="center"/>
          </w:tcPr>
          <w:p w14:paraId="41CE1597">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15</w:t>
            </w:r>
          </w:p>
        </w:tc>
        <w:tc>
          <w:tcPr>
            <w:tcW w:w="1086" w:type="dxa"/>
            <w:vMerge w:val="continue"/>
            <w:vAlign w:val="center"/>
          </w:tcPr>
          <w:p w14:paraId="1A1F23DD">
            <w:pPr>
              <w:spacing w:after="48"/>
              <w:jc w:val="center"/>
              <w:rPr>
                <w:rFonts w:hint="eastAsia" w:ascii="宋体" w:hAnsi="宋体" w:eastAsia="宋体" w:cs="宋体"/>
                <w:color w:val="000000"/>
                <w:kern w:val="24"/>
                <w:sz w:val="24"/>
              </w:rPr>
            </w:pPr>
          </w:p>
        </w:tc>
        <w:tc>
          <w:tcPr>
            <w:tcW w:w="1262" w:type="dxa"/>
            <w:vAlign w:val="center"/>
          </w:tcPr>
          <w:p w14:paraId="37AF9F3D">
            <w:pPr>
              <w:spacing w:after="48"/>
              <w:jc w:val="center"/>
              <w:rPr>
                <w:rFonts w:hint="eastAsia" w:ascii="宋体" w:hAnsi="宋体" w:eastAsia="宋体" w:cs="宋体"/>
                <w:sz w:val="24"/>
              </w:rPr>
            </w:pPr>
            <w:r>
              <w:rPr>
                <w:rFonts w:hint="eastAsia" w:ascii="宋体" w:hAnsi="宋体" w:eastAsia="宋体" w:cs="宋体"/>
                <w:color w:val="000000"/>
                <w:kern w:val="24"/>
                <w:sz w:val="24"/>
              </w:rPr>
              <w:t>网管平台扩容</w:t>
            </w:r>
          </w:p>
        </w:tc>
        <w:tc>
          <w:tcPr>
            <w:tcW w:w="5117" w:type="dxa"/>
          </w:tcPr>
          <w:p w14:paraId="677CCBB6">
            <w:pPr>
              <w:spacing w:after="48"/>
              <w:rPr>
                <w:rFonts w:hint="eastAsia" w:ascii="宋体" w:hAnsi="宋体" w:eastAsia="宋体" w:cs="宋体"/>
                <w:sz w:val="24"/>
              </w:rPr>
            </w:pPr>
            <w:r>
              <w:rPr>
                <w:rFonts w:hint="eastAsia" w:ascii="宋体" w:hAnsi="宋体" w:eastAsia="宋体" w:cs="宋体"/>
                <w:sz w:val="24"/>
              </w:rPr>
              <w:t>满足本次项目设备管理需求license</w:t>
            </w:r>
          </w:p>
        </w:tc>
        <w:tc>
          <w:tcPr>
            <w:tcW w:w="692" w:type="dxa"/>
            <w:vAlign w:val="center"/>
          </w:tcPr>
          <w:p w14:paraId="399FFC2E">
            <w:pPr>
              <w:spacing w:after="48"/>
              <w:jc w:val="center"/>
              <w:rPr>
                <w:rFonts w:hint="eastAsia" w:ascii="宋体" w:hAnsi="宋体" w:eastAsia="宋体" w:cs="宋体"/>
                <w:sz w:val="24"/>
              </w:rPr>
            </w:pPr>
            <w:r>
              <w:rPr>
                <w:rFonts w:hint="eastAsia" w:ascii="宋体" w:hAnsi="宋体" w:eastAsia="宋体" w:cs="宋体"/>
                <w:color w:val="000000"/>
                <w:kern w:val="24"/>
                <w:sz w:val="24"/>
              </w:rPr>
              <w:t>套</w:t>
            </w:r>
          </w:p>
        </w:tc>
        <w:tc>
          <w:tcPr>
            <w:tcW w:w="673" w:type="dxa"/>
            <w:noWrap/>
            <w:vAlign w:val="center"/>
          </w:tcPr>
          <w:p w14:paraId="499A3C3D">
            <w:pPr>
              <w:spacing w:after="48"/>
              <w:jc w:val="center"/>
              <w:rPr>
                <w:rFonts w:hint="eastAsia" w:ascii="宋体" w:hAnsi="宋体" w:eastAsia="宋体" w:cs="宋体"/>
                <w:sz w:val="24"/>
              </w:rPr>
            </w:pPr>
            <w:r>
              <w:rPr>
                <w:rFonts w:hint="eastAsia" w:ascii="宋体" w:hAnsi="宋体" w:eastAsia="宋体" w:cs="宋体"/>
                <w:color w:val="000000"/>
                <w:kern w:val="24"/>
                <w:sz w:val="24"/>
              </w:rPr>
              <w:t>1</w:t>
            </w:r>
          </w:p>
        </w:tc>
      </w:tr>
      <w:tr w14:paraId="6805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27" w:type="dxa"/>
            <w:shd w:val="clear" w:color="auto" w:fill="auto"/>
            <w:noWrap/>
            <w:vAlign w:val="center"/>
          </w:tcPr>
          <w:p w14:paraId="43F2A914">
            <w:pPr>
              <w:spacing w:after="48"/>
              <w:jc w:val="center"/>
              <w:rPr>
                <w:rFonts w:hint="eastAsia" w:ascii="宋体" w:hAnsi="宋体" w:eastAsia="宋体" w:cs="宋体"/>
                <w:color w:val="000000"/>
                <w:kern w:val="24"/>
                <w:sz w:val="24"/>
                <w:szCs w:val="24"/>
                <w:lang w:val="en-US" w:eastAsia="zh-CN" w:bidi="ar-SA"/>
              </w:rPr>
            </w:pPr>
            <w:r>
              <w:rPr>
                <w:rFonts w:hint="eastAsia" w:ascii="宋体" w:hAnsi="宋体" w:eastAsia="宋体" w:cs="宋体"/>
                <w:color w:val="000000"/>
                <w:kern w:val="24"/>
                <w:sz w:val="24"/>
              </w:rPr>
              <w:t>16</w:t>
            </w:r>
          </w:p>
        </w:tc>
        <w:tc>
          <w:tcPr>
            <w:tcW w:w="1086" w:type="dxa"/>
            <w:vMerge w:val="continue"/>
            <w:vAlign w:val="center"/>
          </w:tcPr>
          <w:p w14:paraId="2E0CD92B">
            <w:pPr>
              <w:spacing w:after="48"/>
              <w:jc w:val="center"/>
              <w:rPr>
                <w:rFonts w:hint="eastAsia" w:ascii="宋体" w:hAnsi="宋体" w:eastAsia="宋体" w:cs="宋体"/>
                <w:color w:val="000000"/>
                <w:kern w:val="24"/>
                <w:sz w:val="24"/>
              </w:rPr>
            </w:pPr>
          </w:p>
        </w:tc>
        <w:tc>
          <w:tcPr>
            <w:tcW w:w="1262" w:type="dxa"/>
            <w:shd w:val="clear" w:color="auto" w:fill="auto"/>
            <w:vAlign w:val="center"/>
          </w:tcPr>
          <w:p w14:paraId="016BB6F2">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工程辅料</w:t>
            </w:r>
          </w:p>
        </w:tc>
        <w:tc>
          <w:tcPr>
            <w:tcW w:w="5117" w:type="dxa"/>
            <w:shd w:val="clear" w:color="auto" w:fill="auto"/>
            <w:vAlign w:val="center"/>
          </w:tcPr>
          <w:p w14:paraId="3BC1B224">
            <w:pPr>
              <w:spacing w:after="48" w:line="360" w:lineRule="auto"/>
              <w:rPr>
                <w:rFonts w:hint="eastAsia" w:ascii="宋体" w:hAnsi="宋体" w:eastAsia="宋体" w:cstheme="minorBidi"/>
                <w:kern w:val="2"/>
                <w:sz w:val="24"/>
                <w:szCs w:val="24"/>
                <w:lang w:val="en-US" w:eastAsia="zh-CN" w:bidi="ar-SA"/>
              </w:rPr>
            </w:pPr>
            <w:r>
              <w:rPr>
                <w:rFonts w:hint="eastAsia" w:ascii="宋体" w:hAnsi="宋体" w:eastAsia="宋体"/>
                <w:sz w:val="24"/>
              </w:rPr>
              <w:t>项目所需网线、光纤、线管</w:t>
            </w:r>
          </w:p>
        </w:tc>
        <w:tc>
          <w:tcPr>
            <w:tcW w:w="692" w:type="dxa"/>
            <w:shd w:val="clear" w:color="auto" w:fill="auto"/>
            <w:vAlign w:val="top"/>
          </w:tcPr>
          <w:p w14:paraId="061A4FEF">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项</w:t>
            </w:r>
          </w:p>
        </w:tc>
        <w:tc>
          <w:tcPr>
            <w:tcW w:w="673" w:type="dxa"/>
            <w:shd w:val="clear" w:color="auto" w:fill="auto"/>
            <w:noWrap/>
            <w:vAlign w:val="top"/>
          </w:tcPr>
          <w:p w14:paraId="31054B01">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1</w:t>
            </w:r>
          </w:p>
        </w:tc>
      </w:tr>
      <w:tr w14:paraId="79C1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27" w:type="dxa"/>
            <w:shd w:val="clear" w:color="auto" w:fill="auto"/>
            <w:noWrap/>
            <w:vAlign w:val="center"/>
          </w:tcPr>
          <w:p w14:paraId="0790B9F7">
            <w:pPr>
              <w:spacing w:after="48"/>
              <w:jc w:val="center"/>
              <w:rPr>
                <w:rFonts w:hint="eastAsia" w:ascii="宋体" w:hAnsi="宋体" w:eastAsia="宋体" w:cs="宋体"/>
                <w:color w:val="000000"/>
                <w:kern w:val="24"/>
                <w:sz w:val="24"/>
                <w:szCs w:val="24"/>
                <w:lang w:val="en-US" w:eastAsia="zh-CN" w:bidi="ar-SA"/>
              </w:rPr>
            </w:pPr>
            <w:r>
              <w:rPr>
                <w:rFonts w:hint="eastAsia" w:ascii="宋体" w:hAnsi="宋体" w:eastAsia="宋体" w:cs="宋体"/>
                <w:color w:val="000000"/>
                <w:kern w:val="24"/>
                <w:sz w:val="24"/>
                <w:lang w:val="en-US" w:eastAsia="zh-CN"/>
              </w:rPr>
              <w:t>17</w:t>
            </w:r>
          </w:p>
        </w:tc>
        <w:tc>
          <w:tcPr>
            <w:tcW w:w="1086" w:type="dxa"/>
            <w:vMerge w:val="continue"/>
            <w:vAlign w:val="center"/>
          </w:tcPr>
          <w:p w14:paraId="6FA9CC4F">
            <w:pPr>
              <w:spacing w:after="48"/>
              <w:jc w:val="center"/>
              <w:rPr>
                <w:rFonts w:hint="eastAsia" w:ascii="宋体" w:hAnsi="宋体" w:eastAsia="宋体" w:cs="宋体"/>
                <w:color w:val="000000"/>
                <w:kern w:val="24"/>
                <w:sz w:val="24"/>
              </w:rPr>
            </w:pPr>
          </w:p>
        </w:tc>
        <w:tc>
          <w:tcPr>
            <w:tcW w:w="1262" w:type="dxa"/>
            <w:shd w:val="clear" w:color="auto" w:fill="auto"/>
            <w:vAlign w:val="center"/>
          </w:tcPr>
          <w:p w14:paraId="58E98278">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综合布线</w:t>
            </w:r>
          </w:p>
        </w:tc>
        <w:tc>
          <w:tcPr>
            <w:tcW w:w="5117" w:type="dxa"/>
            <w:shd w:val="clear" w:color="auto" w:fill="auto"/>
            <w:vAlign w:val="center"/>
          </w:tcPr>
          <w:p w14:paraId="6C59569D">
            <w:pPr>
              <w:spacing w:after="48" w:line="360" w:lineRule="auto"/>
              <w:rPr>
                <w:rFonts w:hint="eastAsia" w:ascii="宋体" w:hAnsi="宋体" w:eastAsia="宋体" w:cstheme="minorBidi"/>
                <w:kern w:val="2"/>
                <w:sz w:val="24"/>
                <w:szCs w:val="24"/>
                <w:lang w:val="en-US" w:eastAsia="zh-CN" w:bidi="ar-SA"/>
              </w:rPr>
            </w:pPr>
            <w:r>
              <w:rPr>
                <w:rFonts w:hint="eastAsia" w:ascii="宋体" w:hAnsi="宋体" w:eastAsia="宋体"/>
                <w:sz w:val="24"/>
              </w:rPr>
              <w:t>新增设备的综合布线服务</w:t>
            </w:r>
          </w:p>
        </w:tc>
        <w:tc>
          <w:tcPr>
            <w:tcW w:w="692" w:type="dxa"/>
            <w:shd w:val="clear" w:color="auto" w:fill="auto"/>
            <w:vAlign w:val="top"/>
          </w:tcPr>
          <w:p w14:paraId="7077D12D">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项</w:t>
            </w:r>
          </w:p>
        </w:tc>
        <w:tc>
          <w:tcPr>
            <w:tcW w:w="673" w:type="dxa"/>
            <w:shd w:val="clear" w:color="auto" w:fill="auto"/>
            <w:noWrap/>
            <w:vAlign w:val="top"/>
          </w:tcPr>
          <w:p w14:paraId="31021E6D">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1</w:t>
            </w:r>
          </w:p>
        </w:tc>
      </w:tr>
      <w:tr w14:paraId="431D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27" w:type="dxa"/>
            <w:shd w:val="clear" w:color="auto" w:fill="auto"/>
            <w:noWrap/>
            <w:vAlign w:val="center"/>
          </w:tcPr>
          <w:p w14:paraId="21A5C526">
            <w:pPr>
              <w:spacing w:after="48"/>
              <w:jc w:val="center"/>
              <w:rPr>
                <w:rFonts w:hint="eastAsia" w:ascii="宋体" w:hAnsi="宋体" w:eastAsia="宋体" w:cs="宋体"/>
                <w:color w:val="000000"/>
                <w:kern w:val="24"/>
                <w:sz w:val="24"/>
                <w:szCs w:val="24"/>
                <w:lang w:val="en-US" w:eastAsia="zh-CN" w:bidi="ar-SA"/>
              </w:rPr>
            </w:pPr>
            <w:r>
              <w:rPr>
                <w:rFonts w:hint="eastAsia" w:ascii="宋体" w:hAnsi="宋体" w:eastAsia="宋体" w:cs="宋体"/>
                <w:color w:val="000000"/>
                <w:kern w:val="24"/>
                <w:sz w:val="24"/>
                <w:lang w:val="en-US" w:eastAsia="zh-CN"/>
              </w:rPr>
              <w:t>18</w:t>
            </w:r>
          </w:p>
        </w:tc>
        <w:tc>
          <w:tcPr>
            <w:tcW w:w="1086" w:type="dxa"/>
            <w:vMerge w:val="continue"/>
            <w:vAlign w:val="center"/>
          </w:tcPr>
          <w:p w14:paraId="14C068BE">
            <w:pPr>
              <w:spacing w:after="48"/>
              <w:jc w:val="center"/>
              <w:rPr>
                <w:rFonts w:hint="eastAsia" w:ascii="宋体" w:hAnsi="宋体" w:eastAsia="宋体" w:cs="宋体"/>
                <w:color w:val="000000"/>
                <w:kern w:val="24"/>
                <w:sz w:val="24"/>
              </w:rPr>
            </w:pPr>
          </w:p>
        </w:tc>
        <w:tc>
          <w:tcPr>
            <w:tcW w:w="1262" w:type="dxa"/>
            <w:shd w:val="clear" w:color="auto" w:fill="auto"/>
            <w:vAlign w:val="center"/>
          </w:tcPr>
          <w:p w14:paraId="019B283C">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工程实施/拆除服务</w:t>
            </w:r>
          </w:p>
        </w:tc>
        <w:tc>
          <w:tcPr>
            <w:tcW w:w="5117" w:type="dxa"/>
            <w:shd w:val="clear" w:color="auto" w:fill="auto"/>
            <w:vAlign w:val="center"/>
          </w:tcPr>
          <w:p w14:paraId="6D9F8484">
            <w:pPr>
              <w:spacing w:after="48" w:line="360" w:lineRule="auto"/>
              <w:rPr>
                <w:rFonts w:hint="eastAsia" w:ascii="宋体" w:hAnsi="宋体" w:eastAsia="宋体" w:cstheme="minorBidi"/>
                <w:kern w:val="2"/>
                <w:sz w:val="24"/>
                <w:szCs w:val="24"/>
                <w:lang w:val="en-US" w:eastAsia="zh-CN" w:bidi="ar-SA"/>
              </w:rPr>
            </w:pPr>
            <w:r>
              <w:rPr>
                <w:rFonts w:hint="eastAsia" w:ascii="宋体" w:hAnsi="宋体" w:eastAsia="宋体"/>
                <w:sz w:val="24"/>
              </w:rPr>
              <w:t>网络规划设计与实施服务</w:t>
            </w:r>
          </w:p>
        </w:tc>
        <w:tc>
          <w:tcPr>
            <w:tcW w:w="692" w:type="dxa"/>
            <w:shd w:val="clear" w:color="auto" w:fill="auto"/>
            <w:vAlign w:val="top"/>
          </w:tcPr>
          <w:p w14:paraId="2544FBDB">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项</w:t>
            </w:r>
          </w:p>
        </w:tc>
        <w:tc>
          <w:tcPr>
            <w:tcW w:w="673" w:type="dxa"/>
            <w:shd w:val="clear" w:color="auto" w:fill="auto"/>
            <w:noWrap/>
            <w:vAlign w:val="top"/>
          </w:tcPr>
          <w:p w14:paraId="28FA1E37">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1</w:t>
            </w:r>
          </w:p>
        </w:tc>
      </w:tr>
      <w:tr w14:paraId="37B0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627" w:type="dxa"/>
            <w:shd w:val="clear" w:color="auto" w:fill="auto"/>
            <w:noWrap/>
            <w:vAlign w:val="center"/>
          </w:tcPr>
          <w:p w14:paraId="22AD2D77">
            <w:pPr>
              <w:spacing w:after="48"/>
              <w:jc w:val="center"/>
              <w:rPr>
                <w:rFonts w:hint="default"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19</w:t>
            </w:r>
          </w:p>
        </w:tc>
        <w:tc>
          <w:tcPr>
            <w:tcW w:w="1086" w:type="dxa"/>
            <w:vMerge w:val="restart"/>
            <w:vAlign w:val="center"/>
          </w:tcPr>
          <w:p w14:paraId="68B601A0">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信息化运维服务</w:t>
            </w:r>
          </w:p>
        </w:tc>
        <w:tc>
          <w:tcPr>
            <w:tcW w:w="1262" w:type="dxa"/>
            <w:vAlign w:val="center"/>
          </w:tcPr>
          <w:p w14:paraId="29693756">
            <w:pPr>
              <w:spacing w:after="48"/>
              <w:jc w:val="center"/>
              <w:rPr>
                <w:rFonts w:hint="default"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院内机房服务器存储设备运维服务</w:t>
            </w:r>
          </w:p>
        </w:tc>
        <w:tc>
          <w:tcPr>
            <w:tcW w:w="5117" w:type="dxa"/>
          </w:tcPr>
          <w:p w14:paraId="447C9A69">
            <w:pPr>
              <w:spacing w:after="48"/>
              <w:rPr>
                <w:rFonts w:hint="eastAsia" w:ascii="宋体" w:hAnsi="宋体" w:eastAsia="宋体" w:cs="宋体"/>
                <w:sz w:val="24"/>
              </w:rPr>
            </w:pPr>
            <w:r>
              <w:rPr>
                <w:rFonts w:hint="eastAsia" w:ascii="宋体" w:hAnsi="宋体" w:eastAsia="宋体" w:cs="宋体"/>
                <w:color w:val="000000"/>
                <w:kern w:val="24"/>
                <w:sz w:val="24"/>
              </w:rPr>
              <w:t>设备</w:t>
            </w:r>
            <w:r>
              <w:rPr>
                <w:rFonts w:hint="eastAsia" w:ascii="宋体" w:hAnsi="宋体" w:eastAsia="宋体" w:cs="宋体"/>
                <w:color w:val="000000"/>
                <w:kern w:val="24"/>
                <w:sz w:val="24"/>
                <w:lang w:val="en-US" w:eastAsia="zh-CN"/>
              </w:rPr>
              <w:t>利旧改造</w:t>
            </w:r>
            <w:r>
              <w:rPr>
                <w:rFonts w:hint="eastAsia" w:ascii="宋体" w:hAnsi="宋体" w:eastAsia="宋体" w:cs="宋体"/>
                <w:color w:val="000000"/>
                <w:kern w:val="24"/>
                <w:sz w:val="24"/>
              </w:rPr>
              <w:t>、系统维护、数据管理、故障应急处理、设备升级与优化</w:t>
            </w:r>
          </w:p>
        </w:tc>
        <w:tc>
          <w:tcPr>
            <w:tcW w:w="692" w:type="dxa"/>
            <w:vAlign w:val="center"/>
          </w:tcPr>
          <w:p w14:paraId="7B3C8283">
            <w:pPr>
              <w:spacing w:after="48"/>
              <w:jc w:val="center"/>
              <w:rPr>
                <w:rFonts w:hint="eastAsia"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项</w:t>
            </w:r>
          </w:p>
        </w:tc>
        <w:tc>
          <w:tcPr>
            <w:tcW w:w="673" w:type="dxa"/>
            <w:noWrap/>
            <w:vAlign w:val="center"/>
          </w:tcPr>
          <w:p w14:paraId="5B67C9A8">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1</w:t>
            </w:r>
          </w:p>
        </w:tc>
      </w:tr>
      <w:tr w14:paraId="12C7D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627" w:type="dxa"/>
            <w:shd w:val="clear" w:color="auto" w:fill="auto"/>
            <w:noWrap/>
            <w:vAlign w:val="center"/>
          </w:tcPr>
          <w:p w14:paraId="690CCAD5">
            <w:pPr>
              <w:spacing w:after="48"/>
              <w:jc w:val="center"/>
              <w:rPr>
                <w:rFonts w:hint="default"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20</w:t>
            </w:r>
          </w:p>
        </w:tc>
        <w:tc>
          <w:tcPr>
            <w:tcW w:w="1086" w:type="dxa"/>
            <w:vMerge w:val="continue"/>
            <w:vAlign w:val="center"/>
          </w:tcPr>
          <w:p w14:paraId="7720C6A2">
            <w:pPr>
              <w:spacing w:after="48"/>
              <w:jc w:val="center"/>
              <w:rPr>
                <w:rFonts w:hint="eastAsia" w:ascii="宋体" w:hAnsi="宋体" w:eastAsia="宋体" w:cs="宋体"/>
                <w:color w:val="000000"/>
                <w:kern w:val="24"/>
                <w:sz w:val="24"/>
              </w:rPr>
            </w:pPr>
          </w:p>
        </w:tc>
        <w:tc>
          <w:tcPr>
            <w:tcW w:w="1262" w:type="dxa"/>
            <w:vAlign w:val="center"/>
          </w:tcPr>
          <w:p w14:paraId="5D0FEF23">
            <w:pPr>
              <w:spacing w:after="48"/>
              <w:jc w:val="center"/>
              <w:rPr>
                <w:rFonts w:hint="default"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 xml:space="preserve">HIS系统&amp;集成平台运维服务 </w:t>
            </w:r>
          </w:p>
        </w:tc>
        <w:tc>
          <w:tcPr>
            <w:tcW w:w="5117" w:type="dxa"/>
          </w:tcPr>
          <w:p w14:paraId="4C3F1B28">
            <w:pPr>
              <w:spacing w:after="48"/>
              <w:rPr>
                <w:rFonts w:hint="eastAsia" w:ascii="宋体" w:hAnsi="宋体" w:eastAsia="宋体" w:cs="宋体"/>
                <w:color w:val="000000"/>
                <w:kern w:val="24"/>
                <w:sz w:val="24"/>
              </w:rPr>
            </w:pPr>
            <w:r>
              <w:rPr>
                <w:rFonts w:hint="eastAsia" w:ascii="宋体" w:hAnsi="宋体" w:eastAsia="宋体" w:cs="宋体"/>
                <w:color w:val="000000"/>
                <w:kern w:val="24"/>
                <w:sz w:val="24"/>
              </w:rPr>
              <w:t>运行维护、接口与数据交换维保、故障处理与应急保障、性能优化与升级支持、日志管理与审计追溯、技术培训、定时巡检</w:t>
            </w:r>
          </w:p>
        </w:tc>
        <w:tc>
          <w:tcPr>
            <w:tcW w:w="692" w:type="dxa"/>
            <w:vAlign w:val="center"/>
          </w:tcPr>
          <w:p w14:paraId="5DFBCCFA">
            <w:pPr>
              <w:spacing w:after="48"/>
              <w:jc w:val="center"/>
              <w:rPr>
                <w:rFonts w:hint="eastAsia"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项</w:t>
            </w:r>
          </w:p>
        </w:tc>
        <w:tc>
          <w:tcPr>
            <w:tcW w:w="673" w:type="dxa"/>
            <w:noWrap/>
            <w:vAlign w:val="center"/>
          </w:tcPr>
          <w:p w14:paraId="748DB65A">
            <w:pPr>
              <w:spacing w:after="48"/>
              <w:jc w:val="center"/>
              <w:rPr>
                <w:rFonts w:hint="eastAsia"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1</w:t>
            </w:r>
          </w:p>
        </w:tc>
      </w:tr>
      <w:tr w14:paraId="749C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627" w:type="dxa"/>
            <w:shd w:val="clear" w:color="auto" w:fill="auto"/>
            <w:noWrap/>
            <w:vAlign w:val="center"/>
          </w:tcPr>
          <w:p w14:paraId="0B8AF4B9">
            <w:pPr>
              <w:spacing w:after="48"/>
              <w:jc w:val="center"/>
              <w:rPr>
                <w:rFonts w:hint="default"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21</w:t>
            </w:r>
          </w:p>
        </w:tc>
        <w:tc>
          <w:tcPr>
            <w:tcW w:w="1086" w:type="dxa"/>
            <w:vMerge w:val="continue"/>
            <w:vAlign w:val="center"/>
          </w:tcPr>
          <w:p w14:paraId="4DEC0DB2">
            <w:pPr>
              <w:spacing w:after="48"/>
              <w:jc w:val="center"/>
              <w:rPr>
                <w:rFonts w:hint="eastAsia" w:ascii="宋体" w:hAnsi="宋体" w:eastAsia="宋体" w:cs="宋体"/>
                <w:color w:val="000000"/>
                <w:kern w:val="24"/>
                <w:sz w:val="24"/>
              </w:rPr>
            </w:pPr>
          </w:p>
        </w:tc>
        <w:tc>
          <w:tcPr>
            <w:tcW w:w="1262" w:type="dxa"/>
            <w:vAlign w:val="center"/>
          </w:tcPr>
          <w:p w14:paraId="204B342E">
            <w:pPr>
              <w:spacing w:after="48"/>
              <w:jc w:val="center"/>
              <w:rPr>
                <w:rFonts w:hint="default"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运维施工服务</w:t>
            </w:r>
          </w:p>
        </w:tc>
        <w:tc>
          <w:tcPr>
            <w:tcW w:w="5117" w:type="dxa"/>
          </w:tcPr>
          <w:p w14:paraId="4A779D39">
            <w:pPr>
              <w:spacing w:after="48"/>
              <w:rPr>
                <w:rFonts w:hint="eastAsia" w:ascii="宋体" w:hAnsi="宋体" w:eastAsia="宋体" w:cs="宋体"/>
                <w:color w:val="000000"/>
                <w:kern w:val="24"/>
                <w:sz w:val="24"/>
              </w:rPr>
            </w:pPr>
            <w:r>
              <w:rPr>
                <w:rFonts w:hint="eastAsia" w:ascii="宋体" w:hAnsi="宋体" w:eastAsia="宋体" w:cs="宋体"/>
                <w:color w:val="000000"/>
                <w:kern w:val="24"/>
                <w:sz w:val="24"/>
              </w:rPr>
              <w:t>硬件设备运维施工（搬迁、拆机、更换施工等）、网络与布线运维施工、机房环境运维施工</w:t>
            </w:r>
          </w:p>
        </w:tc>
        <w:tc>
          <w:tcPr>
            <w:tcW w:w="692" w:type="dxa"/>
            <w:vAlign w:val="center"/>
          </w:tcPr>
          <w:p w14:paraId="10ADC36A">
            <w:pPr>
              <w:spacing w:after="48"/>
              <w:jc w:val="center"/>
              <w:rPr>
                <w:rFonts w:hint="eastAsia"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项</w:t>
            </w:r>
          </w:p>
        </w:tc>
        <w:tc>
          <w:tcPr>
            <w:tcW w:w="673" w:type="dxa"/>
            <w:noWrap/>
            <w:vAlign w:val="center"/>
          </w:tcPr>
          <w:p w14:paraId="2DE2F286">
            <w:pPr>
              <w:spacing w:after="48"/>
              <w:jc w:val="center"/>
              <w:rPr>
                <w:rFonts w:hint="eastAsia" w:ascii="宋体" w:hAnsi="宋体" w:eastAsia="宋体" w:cs="宋体"/>
                <w:color w:val="000000"/>
                <w:kern w:val="24"/>
                <w:sz w:val="24"/>
                <w:lang w:val="en-US" w:eastAsia="zh-CN"/>
              </w:rPr>
            </w:pPr>
            <w:r>
              <w:rPr>
                <w:rFonts w:hint="eastAsia" w:ascii="宋体" w:hAnsi="宋体" w:eastAsia="宋体" w:cs="宋体"/>
                <w:color w:val="000000"/>
                <w:kern w:val="24"/>
                <w:sz w:val="24"/>
                <w:lang w:val="en-US" w:eastAsia="zh-CN"/>
              </w:rPr>
              <w:t>1</w:t>
            </w:r>
          </w:p>
        </w:tc>
      </w:tr>
    </w:tbl>
    <w:p w14:paraId="1E0DFC0F">
      <w:pPr>
        <w:tabs>
          <w:tab w:val="left" w:pos="741"/>
        </w:tabs>
        <w:spacing w:before="5" w:after="48" w:line="242" w:lineRule="auto"/>
        <w:ind w:right="264"/>
        <w:rPr>
          <w:sz w:val="24"/>
        </w:rPr>
      </w:pPr>
    </w:p>
    <w:p w14:paraId="6DCB5FEB">
      <w:pPr>
        <w:spacing w:before="1" w:after="48" w:line="364" w:lineRule="auto"/>
        <w:ind w:right="264"/>
        <w:rPr>
          <w:rFonts w:hint="eastAsia" w:ascii="宋体" w:hAnsi="宋体" w:eastAsia="宋体" w:cs="宋体"/>
          <w:sz w:val="24"/>
        </w:rPr>
      </w:pPr>
    </w:p>
    <w:p w14:paraId="2D514E0D">
      <w:pPr>
        <w:pStyle w:val="3"/>
        <w:spacing w:before="120" w:after="48"/>
        <w:rPr>
          <w:rFonts w:hint="eastAsia"/>
        </w:rPr>
      </w:pPr>
      <w:r>
        <w:rPr>
          <w:rFonts w:hint="eastAsia"/>
        </w:rPr>
        <w:t>明细项目清单报价报价表</w:t>
      </w:r>
    </w:p>
    <w:p w14:paraId="232C08B7">
      <w:pPr>
        <w:spacing w:after="48"/>
        <w:jc w:val="center"/>
      </w:pPr>
      <w:r>
        <w:rPr>
          <w:rFonts w:hint="eastAsia" w:ascii="宋体" w:hAnsi="宋体" w:eastAsia="宋体" w:cs="宋体"/>
          <w:b/>
          <w:sz w:val="32"/>
        </w:rPr>
        <w:t>明细项目清单报价表</w:t>
      </w:r>
    </w:p>
    <w:tbl>
      <w:tblPr>
        <w:tblStyle w:val="3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1786"/>
        <w:gridCol w:w="1811"/>
        <w:gridCol w:w="1894"/>
        <w:gridCol w:w="696"/>
        <w:gridCol w:w="584"/>
        <w:gridCol w:w="1080"/>
        <w:gridCol w:w="951"/>
      </w:tblGrid>
      <w:tr w14:paraId="342A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vAlign w:val="center"/>
          </w:tcPr>
          <w:p w14:paraId="6B570C99">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序号</w:t>
            </w:r>
          </w:p>
        </w:tc>
        <w:tc>
          <w:tcPr>
            <w:tcW w:w="1786" w:type="dxa"/>
            <w:vAlign w:val="center"/>
          </w:tcPr>
          <w:p w14:paraId="058B4BA9">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分项</w:t>
            </w:r>
          </w:p>
        </w:tc>
        <w:tc>
          <w:tcPr>
            <w:tcW w:w="1811" w:type="dxa"/>
            <w:vAlign w:val="center"/>
          </w:tcPr>
          <w:p w14:paraId="4BE25275">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项目名称</w:t>
            </w:r>
          </w:p>
        </w:tc>
        <w:tc>
          <w:tcPr>
            <w:tcW w:w="1894" w:type="dxa"/>
            <w:vAlign w:val="center"/>
          </w:tcPr>
          <w:p w14:paraId="448237F5">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主要内容（制造商、产地、品牌型号及相关配套服务内容等）</w:t>
            </w:r>
          </w:p>
        </w:tc>
        <w:tc>
          <w:tcPr>
            <w:tcW w:w="696" w:type="dxa"/>
            <w:vAlign w:val="center"/>
          </w:tcPr>
          <w:p w14:paraId="52A98998">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数量</w:t>
            </w:r>
          </w:p>
        </w:tc>
        <w:tc>
          <w:tcPr>
            <w:tcW w:w="584" w:type="dxa"/>
            <w:vAlign w:val="center"/>
          </w:tcPr>
          <w:p w14:paraId="4D107305">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单位</w:t>
            </w:r>
          </w:p>
        </w:tc>
        <w:tc>
          <w:tcPr>
            <w:tcW w:w="1080" w:type="dxa"/>
            <w:vAlign w:val="center"/>
          </w:tcPr>
          <w:p w14:paraId="0B1968C0">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单价（元）</w:t>
            </w:r>
          </w:p>
        </w:tc>
        <w:tc>
          <w:tcPr>
            <w:tcW w:w="951" w:type="dxa"/>
            <w:vAlign w:val="center"/>
          </w:tcPr>
          <w:p w14:paraId="68D450BC">
            <w:pPr>
              <w:widowControl/>
              <w:spacing w:after="48" w:line="360" w:lineRule="auto"/>
              <w:jc w:val="center"/>
              <w:rPr>
                <w:rFonts w:hint="eastAsia" w:ascii="宋体" w:hAnsi="宋体" w:eastAsia="宋体" w:cs="宋体"/>
                <w:b/>
                <w:bCs/>
                <w:sz w:val="24"/>
                <w:u w:color="000000"/>
              </w:rPr>
            </w:pPr>
            <w:r>
              <w:rPr>
                <w:rFonts w:hint="eastAsia" w:ascii="宋体" w:hAnsi="宋体" w:eastAsia="宋体" w:cs="宋体"/>
                <w:b/>
                <w:bCs/>
                <w:sz w:val="24"/>
                <w:u w:color="000000"/>
              </w:rPr>
              <w:t>总价(元)</w:t>
            </w:r>
          </w:p>
        </w:tc>
      </w:tr>
      <w:tr w14:paraId="26D7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84" w:type="dxa"/>
            <w:shd w:val="clear" w:color="auto" w:fill="auto"/>
            <w:vAlign w:val="center"/>
          </w:tcPr>
          <w:p w14:paraId="4FD934C8">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1786" w:type="dxa"/>
            <w:shd w:val="clear" w:color="auto" w:fill="auto"/>
            <w:vAlign w:val="center"/>
          </w:tcPr>
          <w:p w14:paraId="5ACAABB4">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网络一体化智慧运维服务</w:t>
            </w:r>
          </w:p>
        </w:tc>
        <w:tc>
          <w:tcPr>
            <w:tcW w:w="1811" w:type="dxa"/>
            <w:vAlign w:val="center"/>
          </w:tcPr>
          <w:p w14:paraId="2C2A0A6F">
            <w:pPr>
              <w:widowControl/>
              <w:spacing w:after="48" w:line="360" w:lineRule="auto"/>
              <w:jc w:val="center"/>
              <w:rPr>
                <w:rFonts w:hint="eastAsia" w:ascii="宋体" w:hAnsi="宋体" w:eastAsia="宋体" w:cs="宋体"/>
                <w:sz w:val="24"/>
                <w:u w:color="000000"/>
              </w:rPr>
            </w:pPr>
            <w:r>
              <w:rPr>
                <w:rFonts w:hint="eastAsia" w:ascii="宋体" w:hAnsi="宋体" w:eastAsia="宋体" w:cs="宋体"/>
                <w:color w:val="000000"/>
                <w:kern w:val="24"/>
                <w:sz w:val="24"/>
              </w:rPr>
              <w:t>网络一体化智慧运维服务</w:t>
            </w:r>
          </w:p>
        </w:tc>
        <w:tc>
          <w:tcPr>
            <w:tcW w:w="1894" w:type="dxa"/>
          </w:tcPr>
          <w:p w14:paraId="63DF0955">
            <w:pPr>
              <w:widowControl/>
              <w:spacing w:after="48" w:line="360" w:lineRule="auto"/>
              <w:jc w:val="center"/>
              <w:rPr>
                <w:rFonts w:hint="eastAsia" w:ascii="宋体" w:hAnsi="宋体" w:eastAsia="宋体" w:cs="宋体"/>
                <w:sz w:val="24"/>
                <w:u w:color="000000"/>
              </w:rPr>
            </w:pPr>
          </w:p>
        </w:tc>
        <w:tc>
          <w:tcPr>
            <w:tcW w:w="696" w:type="dxa"/>
            <w:vAlign w:val="center"/>
          </w:tcPr>
          <w:p w14:paraId="7E75E6E1">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0C274040">
            <w:pPr>
              <w:widowControl/>
              <w:spacing w:after="48" w:line="360" w:lineRule="auto"/>
              <w:jc w:val="center"/>
              <w:rPr>
                <w:rFonts w:hint="default" w:ascii="宋体" w:hAnsi="宋体" w:eastAsia="宋体" w:cs="宋体"/>
                <w:sz w:val="24"/>
                <w:u w:color="000000"/>
                <w:lang w:val="en-US" w:eastAsia="zh-CN"/>
              </w:rPr>
            </w:pPr>
            <w:r>
              <w:rPr>
                <w:rFonts w:hint="eastAsia" w:ascii="宋体" w:hAnsi="宋体" w:eastAsia="宋体" w:cs="宋体"/>
                <w:sz w:val="24"/>
                <w:u w:color="000000"/>
                <w:lang w:val="en-US" w:eastAsia="zh-CN"/>
              </w:rPr>
              <w:t>项</w:t>
            </w:r>
          </w:p>
        </w:tc>
        <w:tc>
          <w:tcPr>
            <w:tcW w:w="1080" w:type="dxa"/>
          </w:tcPr>
          <w:p w14:paraId="58D88A20">
            <w:pPr>
              <w:widowControl/>
              <w:spacing w:after="48" w:line="360" w:lineRule="auto"/>
              <w:jc w:val="center"/>
              <w:rPr>
                <w:rFonts w:hint="eastAsia" w:ascii="宋体" w:hAnsi="宋体" w:eastAsia="宋体" w:cs="宋体"/>
                <w:sz w:val="24"/>
                <w:u w:color="000000"/>
              </w:rPr>
            </w:pPr>
          </w:p>
        </w:tc>
        <w:tc>
          <w:tcPr>
            <w:tcW w:w="951" w:type="dxa"/>
          </w:tcPr>
          <w:p w14:paraId="0637D448">
            <w:pPr>
              <w:widowControl/>
              <w:spacing w:after="48" w:line="360" w:lineRule="auto"/>
              <w:jc w:val="center"/>
              <w:rPr>
                <w:rFonts w:hint="eastAsia" w:ascii="宋体" w:hAnsi="宋体" w:eastAsia="宋体" w:cs="宋体"/>
                <w:sz w:val="24"/>
                <w:u w:color="000000"/>
              </w:rPr>
            </w:pPr>
          </w:p>
        </w:tc>
      </w:tr>
      <w:tr w14:paraId="0ACE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84" w:type="dxa"/>
            <w:shd w:val="clear" w:color="auto" w:fill="auto"/>
            <w:vAlign w:val="center"/>
          </w:tcPr>
          <w:p w14:paraId="33B4BF9D">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2</w:t>
            </w:r>
          </w:p>
        </w:tc>
        <w:tc>
          <w:tcPr>
            <w:tcW w:w="1786" w:type="dxa"/>
            <w:vMerge w:val="restart"/>
            <w:shd w:val="clear" w:color="auto" w:fill="auto"/>
            <w:vAlign w:val="center"/>
          </w:tcPr>
          <w:p w14:paraId="3827AB99">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无线网络升级改造</w:t>
            </w:r>
          </w:p>
        </w:tc>
        <w:tc>
          <w:tcPr>
            <w:tcW w:w="1811" w:type="dxa"/>
            <w:vAlign w:val="center"/>
          </w:tcPr>
          <w:p w14:paraId="64EEE3F2">
            <w:pPr>
              <w:widowControl/>
              <w:spacing w:after="48" w:line="360" w:lineRule="auto"/>
              <w:jc w:val="center"/>
              <w:rPr>
                <w:rFonts w:hint="eastAsia" w:ascii="宋体" w:hAnsi="宋体" w:eastAsia="宋体" w:cs="宋体"/>
                <w:sz w:val="24"/>
                <w:u w:color="000000"/>
                <w:lang w:eastAsia="zh-CN"/>
              </w:rPr>
            </w:pPr>
            <w:r>
              <w:rPr>
                <w:rFonts w:hint="eastAsia" w:ascii="宋体" w:hAnsi="宋体" w:eastAsia="宋体" w:cs="宋体"/>
                <w:sz w:val="24"/>
                <w:u w:color="000000"/>
                <w:lang w:eastAsia="zh-CN"/>
              </w:rPr>
              <w:t>有线接入供电节点设备</w:t>
            </w:r>
          </w:p>
        </w:tc>
        <w:tc>
          <w:tcPr>
            <w:tcW w:w="1894" w:type="dxa"/>
          </w:tcPr>
          <w:p w14:paraId="3BABB32D">
            <w:pPr>
              <w:widowControl/>
              <w:spacing w:after="48" w:line="360" w:lineRule="auto"/>
              <w:jc w:val="center"/>
              <w:rPr>
                <w:rFonts w:hint="eastAsia" w:ascii="宋体" w:hAnsi="宋体" w:eastAsia="宋体" w:cs="宋体"/>
                <w:sz w:val="24"/>
                <w:u w:color="000000"/>
              </w:rPr>
            </w:pPr>
          </w:p>
        </w:tc>
        <w:tc>
          <w:tcPr>
            <w:tcW w:w="696" w:type="dxa"/>
            <w:vAlign w:val="center"/>
          </w:tcPr>
          <w:p w14:paraId="45058D47">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139</w:t>
            </w:r>
          </w:p>
        </w:tc>
        <w:tc>
          <w:tcPr>
            <w:tcW w:w="584" w:type="dxa"/>
            <w:vAlign w:val="center"/>
          </w:tcPr>
          <w:p w14:paraId="0109C506">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6ED81DB1">
            <w:pPr>
              <w:widowControl/>
              <w:spacing w:after="48" w:line="360" w:lineRule="auto"/>
              <w:jc w:val="center"/>
              <w:rPr>
                <w:rFonts w:hint="eastAsia" w:ascii="宋体" w:hAnsi="宋体" w:eastAsia="宋体" w:cs="宋体"/>
                <w:sz w:val="24"/>
                <w:u w:color="000000"/>
              </w:rPr>
            </w:pPr>
            <w:bookmarkStart w:id="8" w:name="_GoBack"/>
            <w:bookmarkEnd w:id="8"/>
          </w:p>
        </w:tc>
        <w:tc>
          <w:tcPr>
            <w:tcW w:w="951" w:type="dxa"/>
          </w:tcPr>
          <w:p w14:paraId="73F7F713">
            <w:pPr>
              <w:widowControl/>
              <w:spacing w:after="48" w:line="360" w:lineRule="auto"/>
              <w:jc w:val="center"/>
              <w:rPr>
                <w:rFonts w:hint="eastAsia" w:ascii="宋体" w:hAnsi="宋体" w:eastAsia="宋体" w:cs="宋体"/>
                <w:sz w:val="24"/>
                <w:u w:color="000000"/>
              </w:rPr>
            </w:pPr>
          </w:p>
        </w:tc>
      </w:tr>
      <w:tr w14:paraId="32BF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315CA9D5">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3</w:t>
            </w:r>
          </w:p>
        </w:tc>
        <w:tc>
          <w:tcPr>
            <w:tcW w:w="1786" w:type="dxa"/>
            <w:vMerge w:val="continue"/>
            <w:vAlign w:val="center"/>
          </w:tcPr>
          <w:p w14:paraId="4AEC2BF1">
            <w:pPr>
              <w:widowControl/>
              <w:spacing w:after="48" w:line="360" w:lineRule="auto"/>
              <w:jc w:val="center"/>
              <w:rPr>
                <w:rFonts w:hint="eastAsia" w:ascii="宋体" w:hAnsi="宋体" w:eastAsia="宋体" w:cs="宋体"/>
                <w:sz w:val="24"/>
                <w:u w:color="000000"/>
              </w:rPr>
            </w:pPr>
          </w:p>
        </w:tc>
        <w:tc>
          <w:tcPr>
            <w:tcW w:w="1811" w:type="dxa"/>
            <w:vAlign w:val="center"/>
          </w:tcPr>
          <w:p w14:paraId="615E950A">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高密AP</w:t>
            </w:r>
          </w:p>
        </w:tc>
        <w:tc>
          <w:tcPr>
            <w:tcW w:w="1894" w:type="dxa"/>
          </w:tcPr>
          <w:p w14:paraId="04888E55">
            <w:pPr>
              <w:widowControl/>
              <w:spacing w:after="48" w:line="360" w:lineRule="auto"/>
              <w:jc w:val="center"/>
              <w:rPr>
                <w:rFonts w:hint="eastAsia" w:ascii="宋体" w:hAnsi="宋体" w:eastAsia="宋体" w:cs="宋体"/>
                <w:sz w:val="24"/>
                <w:u w:color="000000"/>
              </w:rPr>
            </w:pPr>
          </w:p>
        </w:tc>
        <w:tc>
          <w:tcPr>
            <w:tcW w:w="696" w:type="dxa"/>
            <w:vAlign w:val="center"/>
          </w:tcPr>
          <w:p w14:paraId="05C9035D">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48</w:t>
            </w:r>
          </w:p>
        </w:tc>
        <w:tc>
          <w:tcPr>
            <w:tcW w:w="584" w:type="dxa"/>
            <w:vAlign w:val="center"/>
          </w:tcPr>
          <w:p w14:paraId="0B92A7E8">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14402DB3">
            <w:pPr>
              <w:widowControl/>
              <w:spacing w:after="48" w:line="360" w:lineRule="auto"/>
              <w:jc w:val="center"/>
              <w:rPr>
                <w:rFonts w:hint="eastAsia" w:ascii="宋体" w:hAnsi="宋体" w:eastAsia="宋体" w:cs="宋体"/>
                <w:sz w:val="24"/>
                <w:u w:color="000000"/>
              </w:rPr>
            </w:pPr>
          </w:p>
        </w:tc>
        <w:tc>
          <w:tcPr>
            <w:tcW w:w="951" w:type="dxa"/>
          </w:tcPr>
          <w:p w14:paraId="7D25EB43">
            <w:pPr>
              <w:widowControl/>
              <w:spacing w:after="48" w:line="360" w:lineRule="auto"/>
              <w:jc w:val="center"/>
              <w:rPr>
                <w:rFonts w:hint="eastAsia" w:ascii="宋体" w:hAnsi="宋体" w:eastAsia="宋体" w:cs="宋体"/>
                <w:sz w:val="24"/>
                <w:u w:color="000000"/>
              </w:rPr>
            </w:pPr>
          </w:p>
        </w:tc>
      </w:tr>
      <w:tr w14:paraId="28EF6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76013711">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4</w:t>
            </w:r>
          </w:p>
        </w:tc>
        <w:tc>
          <w:tcPr>
            <w:tcW w:w="1786" w:type="dxa"/>
            <w:vMerge w:val="continue"/>
            <w:vAlign w:val="center"/>
          </w:tcPr>
          <w:p w14:paraId="27AA70D4">
            <w:pPr>
              <w:widowControl/>
              <w:spacing w:after="48" w:line="360" w:lineRule="auto"/>
              <w:jc w:val="center"/>
              <w:rPr>
                <w:rFonts w:hint="eastAsia" w:ascii="宋体" w:hAnsi="宋体" w:eastAsia="宋体" w:cs="宋体"/>
                <w:sz w:val="24"/>
                <w:u w:color="000000"/>
              </w:rPr>
            </w:pPr>
          </w:p>
        </w:tc>
        <w:tc>
          <w:tcPr>
            <w:tcW w:w="1811" w:type="dxa"/>
            <w:vAlign w:val="center"/>
          </w:tcPr>
          <w:p w14:paraId="50B72CFD">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放装AP</w:t>
            </w:r>
          </w:p>
        </w:tc>
        <w:tc>
          <w:tcPr>
            <w:tcW w:w="1894" w:type="dxa"/>
          </w:tcPr>
          <w:p w14:paraId="1E45B3B0">
            <w:pPr>
              <w:widowControl/>
              <w:spacing w:after="48" w:line="360" w:lineRule="auto"/>
              <w:jc w:val="center"/>
              <w:rPr>
                <w:rFonts w:hint="eastAsia" w:ascii="宋体" w:hAnsi="宋体" w:eastAsia="宋体" w:cs="宋体"/>
                <w:sz w:val="24"/>
                <w:u w:color="000000"/>
              </w:rPr>
            </w:pPr>
          </w:p>
        </w:tc>
        <w:tc>
          <w:tcPr>
            <w:tcW w:w="696" w:type="dxa"/>
            <w:vAlign w:val="center"/>
          </w:tcPr>
          <w:p w14:paraId="730B2F3E">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18</w:t>
            </w:r>
          </w:p>
        </w:tc>
        <w:tc>
          <w:tcPr>
            <w:tcW w:w="584" w:type="dxa"/>
            <w:vAlign w:val="center"/>
          </w:tcPr>
          <w:p w14:paraId="0F20423B">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639989B4">
            <w:pPr>
              <w:widowControl/>
              <w:spacing w:after="48" w:line="360" w:lineRule="auto"/>
              <w:jc w:val="center"/>
              <w:rPr>
                <w:rFonts w:hint="eastAsia" w:ascii="宋体" w:hAnsi="宋体" w:eastAsia="宋体" w:cs="宋体"/>
                <w:sz w:val="24"/>
                <w:u w:color="000000"/>
              </w:rPr>
            </w:pPr>
          </w:p>
        </w:tc>
        <w:tc>
          <w:tcPr>
            <w:tcW w:w="951" w:type="dxa"/>
          </w:tcPr>
          <w:p w14:paraId="1444A80B">
            <w:pPr>
              <w:widowControl/>
              <w:spacing w:after="48" w:line="360" w:lineRule="auto"/>
              <w:jc w:val="center"/>
              <w:rPr>
                <w:rFonts w:hint="eastAsia" w:ascii="宋体" w:hAnsi="宋体" w:eastAsia="宋体" w:cs="宋体"/>
                <w:sz w:val="24"/>
                <w:u w:color="000000"/>
              </w:rPr>
            </w:pPr>
          </w:p>
        </w:tc>
      </w:tr>
      <w:tr w14:paraId="57CF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0321E922">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5</w:t>
            </w:r>
          </w:p>
        </w:tc>
        <w:tc>
          <w:tcPr>
            <w:tcW w:w="1786" w:type="dxa"/>
            <w:vMerge w:val="continue"/>
            <w:vAlign w:val="center"/>
          </w:tcPr>
          <w:p w14:paraId="46F96789">
            <w:pPr>
              <w:widowControl/>
              <w:spacing w:after="48" w:line="360" w:lineRule="auto"/>
              <w:jc w:val="center"/>
              <w:rPr>
                <w:rFonts w:hint="eastAsia" w:ascii="宋体" w:hAnsi="宋体" w:eastAsia="宋体" w:cs="宋体"/>
                <w:sz w:val="24"/>
                <w:u w:color="000000"/>
              </w:rPr>
            </w:pPr>
          </w:p>
        </w:tc>
        <w:tc>
          <w:tcPr>
            <w:tcW w:w="1811" w:type="dxa"/>
            <w:vAlign w:val="center"/>
          </w:tcPr>
          <w:p w14:paraId="6905D6B9">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面板AP</w:t>
            </w:r>
          </w:p>
        </w:tc>
        <w:tc>
          <w:tcPr>
            <w:tcW w:w="1894" w:type="dxa"/>
          </w:tcPr>
          <w:p w14:paraId="200B73E4">
            <w:pPr>
              <w:widowControl/>
              <w:spacing w:after="48" w:line="360" w:lineRule="auto"/>
              <w:jc w:val="center"/>
              <w:rPr>
                <w:rFonts w:hint="eastAsia" w:ascii="宋体" w:hAnsi="宋体" w:eastAsia="宋体" w:cs="宋体"/>
                <w:sz w:val="24"/>
                <w:u w:color="000000"/>
              </w:rPr>
            </w:pPr>
          </w:p>
        </w:tc>
        <w:tc>
          <w:tcPr>
            <w:tcW w:w="696" w:type="dxa"/>
            <w:vAlign w:val="center"/>
          </w:tcPr>
          <w:p w14:paraId="7269AEE4">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14</w:t>
            </w:r>
          </w:p>
        </w:tc>
        <w:tc>
          <w:tcPr>
            <w:tcW w:w="584" w:type="dxa"/>
            <w:vAlign w:val="center"/>
          </w:tcPr>
          <w:p w14:paraId="5B676274">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2838DF46">
            <w:pPr>
              <w:widowControl/>
              <w:spacing w:after="48" w:line="360" w:lineRule="auto"/>
              <w:jc w:val="center"/>
              <w:rPr>
                <w:rFonts w:hint="eastAsia" w:ascii="宋体" w:hAnsi="宋体" w:eastAsia="宋体" w:cs="宋体"/>
                <w:sz w:val="24"/>
                <w:u w:color="000000"/>
              </w:rPr>
            </w:pPr>
          </w:p>
        </w:tc>
        <w:tc>
          <w:tcPr>
            <w:tcW w:w="951" w:type="dxa"/>
          </w:tcPr>
          <w:p w14:paraId="28DA3FD2">
            <w:pPr>
              <w:widowControl/>
              <w:spacing w:after="48" w:line="360" w:lineRule="auto"/>
              <w:jc w:val="center"/>
              <w:rPr>
                <w:rFonts w:hint="eastAsia" w:ascii="宋体" w:hAnsi="宋体" w:eastAsia="宋体" w:cs="宋体"/>
                <w:sz w:val="24"/>
                <w:u w:color="000000"/>
              </w:rPr>
            </w:pPr>
          </w:p>
        </w:tc>
      </w:tr>
      <w:tr w14:paraId="400C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414D5AA5">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6</w:t>
            </w:r>
          </w:p>
        </w:tc>
        <w:tc>
          <w:tcPr>
            <w:tcW w:w="1786" w:type="dxa"/>
            <w:vMerge w:val="continue"/>
          </w:tcPr>
          <w:p w14:paraId="4F9B4F5F">
            <w:pPr>
              <w:widowControl/>
              <w:spacing w:after="48" w:line="360" w:lineRule="auto"/>
              <w:jc w:val="center"/>
              <w:rPr>
                <w:rFonts w:hint="eastAsia" w:ascii="宋体" w:hAnsi="宋体" w:eastAsia="宋体" w:cs="宋体"/>
                <w:sz w:val="24"/>
                <w:u w:color="000000"/>
              </w:rPr>
            </w:pPr>
          </w:p>
        </w:tc>
        <w:tc>
          <w:tcPr>
            <w:tcW w:w="1811" w:type="dxa"/>
          </w:tcPr>
          <w:p w14:paraId="1440CAC7">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零漫游 AP</w:t>
            </w:r>
          </w:p>
        </w:tc>
        <w:tc>
          <w:tcPr>
            <w:tcW w:w="1894" w:type="dxa"/>
          </w:tcPr>
          <w:p w14:paraId="14AFF0EA">
            <w:pPr>
              <w:widowControl/>
              <w:spacing w:after="48" w:line="360" w:lineRule="auto"/>
              <w:jc w:val="center"/>
              <w:rPr>
                <w:rFonts w:hint="eastAsia" w:ascii="宋体" w:hAnsi="宋体" w:eastAsia="宋体" w:cs="宋体"/>
                <w:sz w:val="24"/>
                <w:u w:color="000000"/>
              </w:rPr>
            </w:pPr>
          </w:p>
        </w:tc>
        <w:tc>
          <w:tcPr>
            <w:tcW w:w="696" w:type="dxa"/>
            <w:vAlign w:val="center"/>
          </w:tcPr>
          <w:p w14:paraId="3CB9F276">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736</w:t>
            </w:r>
          </w:p>
        </w:tc>
        <w:tc>
          <w:tcPr>
            <w:tcW w:w="584" w:type="dxa"/>
            <w:vAlign w:val="center"/>
          </w:tcPr>
          <w:p w14:paraId="44976E36">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006BE331">
            <w:pPr>
              <w:widowControl/>
              <w:spacing w:after="48" w:line="360" w:lineRule="auto"/>
              <w:jc w:val="center"/>
              <w:rPr>
                <w:rFonts w:hint="eastAsia" w:ascii="宋体" w:hAnsi="宋体" w:eastAsia="宋体" w:cs="宋体"/>
                <w:sz w:val="24"/>
                <w:u w:color="000000"/>
              </w:rPr>
            </w:pPr>
          </w:p>
        </w:tc>
        <w:tc>
          <w:tcPr>
            <w:tcW w:w="951" w:type="dxa"/>
          </w:tcPr>
          <w:p w14:paraId="45F76C8C">
            <w:pPr>
              <w:widowControl/>
              <w:spacing w:after="48" w:line="360" w:lineRule="auto"/>
              <w:jc w:val="center"/>
              <w:rPr>
                <w:rFonts w:hint="eastAsia" w:ascii="宋体" w:hAnsi="宋体" w:eastAsia="宋体" w:cs="宋体"/>
                <w:sz w:val="24"/>
                <w:u w:color="000000"/>
              </w:rPr>
            </w:pPr>
          </w:p>
        </w:tc>
      </w:tr>
      <w:tr w14:paraId="4253A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2A8D58CB">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7</w:t>
            </w:r>
          </w:p>
        </w:tc>
        <w:tc>
          <w:tcPr>
            <w:tcW w:w="1786" w:type="dxa"/>
            <w:vMerge w:val="continue"/>
          </w:tcPr>
          <w:p w14:paraId="0B943067">
            <w:pPr>
              <w:widowControl/>
              <w:spacing w:after="48" w:line="360" w:lineRule="auto"/>
              <w:jc w:val="center"/>
              <w:rPr>
                <w:rFonts w:hint="eastAsia" w:ascii="宋体" w:hAnsi="宋体" w:eastAsia="宋体" w:cs="宋体"/>
                <w:sz w:val="24"/>
                <w:u w:color="000000"/>
              </w:rPr>
            </w:pPr>
          </w:p>
        </w:tc>
        <w:tc>
          <w:tcPr>
            <w:tcW w:w="1811" w:type="dxa"/>
          </w:tcPr>
          <w:p w14:paraId="4F118BED">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天线单元</w:t>
            </w:r>
          </w:p>
        </w:tc>
        <w:tc>
          <w:tcPr>
            <w:tcW w:w="1894" w:type="dxa"/>
          </w:tcPr>
          <w:p w14:paraId="6F31D8E3">
            <w:pPr>
              <w:widowControl/>
              <w:spacing w:after="48" w:line="360" w:lineRule="auto"/>
              <w:jc w:val="center"/>
              <w:rPr>
                <w:rFonts w:hint="eastAsia" w:ascii="宋体" w:hAnsi="宋体" w:eastAsia="宋体" w:cs="宋体"/>
                <w:sz w:val="24"/>
                <w:u w:color="000000"/>
              </w:rPr>
            </w:pPr>
          </w:p>
        </w:tc>
        <w:tc>
          <w:tcPr>
            <w:tcW w:w="696" w:type="dxa"/>
            <w:vAlign w:val="center"/>
          </w:tcPr>
          <w:p w14:paraId="665A7BD7">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4457</w:t>
            </w:r>
          </w:p>
        </w:tc>
        <w:tc>
          <w:tcPr>
            <w:tcW w:w="584" w:type="dxa"/>
            <w:vAlign w:val="center"/>
          </w:tcPr>
          <w:p w14:paraId="384DDF37">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1E792157">
            <w:pPr>
              <w:widowControl/>
              <w:spacing w:after="48" w:line="360" w:lineRule="auto"/>
              <w:jc w:val="center"/>
              <w:rPr>
                <w:rFonts w:hint="eastAsia" w:ascii="宋体" w:hAnsi="宋体" w:eastAsia="宋体" w:cs="宋体"/>
                <w:sz w:val="24"/>
                <w:u w:color="000000"/>
              </w:rPr>
            </w:pPr>
          </w:p>
        </w:tc>
        <w:tc>
          <w:tcPr>
            <w:tcW w:w="951" w:type="dxa"/>
          </w:tcPr>
          <w:p w14:paraId="2800D0B6">
            <w:pPr>
              <w:widowControl/>
              <w:spacing w:after="48" w:line="360" w:lineRule="auto"/>
              <w:jc w:val="center"/>
              <w:rPr>
                <w:rFonts w:hint="eastAsia" w:ascii="宋体" w:hAnsi="宋体" w:eastAsia="宋体" w:cs="宋体"/>
                <w:sz w:val="24"/>
                <w:u w:color="000000"/>
              </w:rPr>
            </w:pPr>
          </w:p>
        </w:tc>
      </w:tr>
      <w:tr w14:paraId="7C02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1D841358">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8</w:t>
            </w:r>
          </w:p>
        </w:tc>
        <w:tc>
          <w:tcPr>
            <w:tcW w:w="1786" w:type="dxa"/>
            <w:vMerge w:val="continue"/>
            <w:vAlign w:val="center"/>
          </w:tcPr>
          <w:p w14:paraId="6EE6E33E">
            <w:pPr>
              <w:widowControl/>
              <w:spacing w:after="48" w:line="360" w:lineRule="auto"/>
              <w:jc w:val="center"/>
              <w:rPr>
                <w:rFonts w:hint="eastAsia" w:ascii="宋体" w:hAnsi="宋体" w:eastAsia="宋体" w:cs="宋体"/>
                <w:sz w:val="24"/>
                <w:u w:color="000000"/>
              </w:rPr>
            </w:pPr>
          </w:p>
        </w:tc>
        <w:tc>
          <w:tcPr>
            <w:tcW w:w="1811" w:type="dxa"/>
            <w:vAlign w:val="center"/>
          </w:tcPr>
          <w:p w14:paraId="2AA8BE48">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馈线</w:t>
            </w:r>
          </w:p>
        </w:tc>
        <w:tc>
          <w:tcPr>
            <w:tcW w:w="1894" w:type="dxa"/>
          </w:tcPr>
          <w:p w14:paraId="26989445">
            <w:pPr>
              <w:widowControl/>
              <w:spacing w:after="48" w:line="360" w:lineRule="auto"/>
              <w:jc w:val="center"/>
              <w:rPr>
                <w:rFonts w:hint="eastAsia" w:ascii="宋体" w:hAnsi="宋体" w:eastAsia="宋体" w:cs="宋体"/>
                <w:sz w:val="24"/>
                <w:u w:color="000000"/>
              </w:rPr>
            </w:pPr>
          </w:p>
        </w:tc>
        <w:tc>
          <w:tcPr>
            <w:tcW w:w="696" w:type="dxa"/>
            <w:vAlign w:val="center"/>
          </w:tcPr>
          <w:p w14:paraId="467CD2D0">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3DB054CC">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套</w:t>
            </w:r>
          </w:p>
        </w:tc>
        <w:tc>
          <w:tcPr>
            <w:tcW w:w="1080" w:type="dxa"/>
          </w:tcPr>
          <w:p w14:paraId="30B1EAC8">
            <w:pPr>
              <w:widowControl/>
              <w:spacing w:after="48" w:line="360" w:lineRule="auto"/>
              <w:jc w:val="center"/>
              <w:rPr>
                <w:rFonts w:hint="eastAsia" w:ascii="宋体" w:hAnsi="宋体" w:eastAsia="宋体" w:cs="宋体"/>
                <w:sz w:val="24"/>
                <w:u w:color="000000"/>
              </w:rPr>
            </w:pPr>
          </w:p>
        </w:tc>
        <w:tc>
          <w:tcPr>
            <w:tcW w:w="951" w:type="dxa"/>
          </w:tcPr>
          <w:p w14:paraId="3488B7E0">
            <w:pPr>
              <w:widowControl/>
              <w:spacing w:after="48" w:line="360" w:lineRule="auto"/>
              <w:jc w:val="center"/>
              <w:rPr>
                <w:rFonts w:hint="eastAsia" w:ascii="宋体" w:hAnsi="宋体" w:eastAsia="宋体" w:cs="宋体"/>
                <w:sz w:val="24"/>
                <w:u w:color="000000"/>
              </w:rPr>
            </w:pPr>
          </w:p>
        </w:tc>
      </w:tr>
      <w:tr w14:paraId="0A62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12D4255C">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9</w:t>
            </w:r>
          </w:p>
        </w:tc>
        <w:tc>
          <w:tcPr>
            <w:tcW w:w="1786" w:type="dxa"/>
            <w:vMerge w:val="continue"/>
            <w:vAlign w:val="center"/>
          </w:tcPr>
          <w:p w14:paraId="6FA9ECB2">
            <w:pPr>
              <w:widowControl/>
              <w:spacing w:after="48" w:line="360" w:lineRule="auto"/>
              <w:jc w:val="center"/>
              <w:rPr>
                <w:rFonts w:hint="eastAsia" w:ascii="宋体" w:hAnsi="宋体" w:eastAsia="宋体" w:cs="宋体"/>
                <w:sz w:val="24"/>
                <w:u w:color="000000"/>
              </w:rPr>
            </w:pPr>
          </w:p>
        </w:tc>
        <w:tc>
          <w:tcPr>
            <w:tcW w:w="1811" w:type="dxa"/>
            <w:vAlign w:val="center"/>
          </w:tcPr>
          <w:p w14:paraId="64EA644B">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外网出口防火墙</w:t>
            </w:r>
          </w:p>
        </w:tc>
        <w:tc>
          <w:tcPr>
            <w:tcW w:w="1894" w:type="dxa"/>
          </w:tcPr>
          <w:p w14:paraId="0F16865D">
            <w:pPr>
              <w:widowControl/>
              <w:spacing w:after="48" w:line="360" w:lineRule="auto"/>
              <w:jc w:val="center"/>
              <w:rPr>
                <w:rFonts w:hint="eastAsia" w:ascii="宋体" w:hAnsi="宋体" w:eastAsia="宋体" w:cs="宋体"/>
                <w:sz w:val="24"/>
                <w:u w:color="000000"/>
              </w:rPr>
            </w:pPr>
          </w:p>
        </w:tc>
        <w:tc>
          <w:tcPr>
            <w:tcW w:w="696" w:type="dxa"/>
            <w:vAlign w:val="center"/>
          </w:tcPr>
          <w:p w14:paraId="6E2D4D96">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5B066F59">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20EA8CEA">
            <w:pPr>
              <w:widowControl/>
              <w:spacing w:after="48" w:line="360" w:lineRule="auto"/>
              <w:jc w:val="center"/>
              <w:rPr>
                <w:rFonts w:hint="eastAsia" w:ascii="宋体" w:hAnsi="宋体" w:eastAsia="宋体" w:cs="宋体"/>
                <w:sz w:val="24"/>
                <w:u w:color="000000"/>
              </w:rPr>
            </w:pPr>
          </w:p>
        </w:tc>
        <w:tc>
          <w:tcPr>
            <w:tcW w:w="951" w:type="dxa"/>
          </w:tcPr>
          <w:p w14:paraId="612CAFD8">
            <w:pPr>
              <w:widowControl/>
              <w:spacing w:after="48" w:line="360" w:lineRule="auto"/>
              <w:jc w:val="center"/>
              <w:rPr>
                <w:rFonts w:hint="eastAsia" w:ascii="宋体" w:hAnsi="宋体" w:eastAsia="宋体" w:cs="宋体"/>
                <w:sz w:val="24"/>
                <w:u w:color="000000"/>
              </w:rPr>
            </w:pPr>
          </w:p>
        </w:tc>
      </w:tr>
      <w:tr w14:paraId="6605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0B40E5D3">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10</w:t>
            </w:r>
          </w:p>
        </w:tc>
        <w:tc>
          <w:tcPr>
            <w:tcW w:w="1786" w:type="dxa"/>
            <w:vMerge w:val="continue"/>
            <w:vAlign w:val="center"/>
          </w:tcPr>
          <w:p w14:paraId="53BD7797">
            <w:pPr>
              <w:widowControl/>
              <w:spacing w:after="48" w:line="360" w:lineRule="auto"/>
              <w:jc w:val="center"/>
              <w:rPr>
                <w:rFonts w:hint="eastAsia" w:ascii="宋体" w:hAnsi="宋体" w:eastAsia="宋体" w:cs="宋体"/>
                <w:sz w:val="24"/>
                <w:u w:color="000000"/>
              </w:rPr>
            </w:pPr>
          </w:p>
        </w:tc>
        <w:tc>
          <w:tcPr>
            <w:tcW w:w="1811" w:type="dxa"/>
            <w:vAlign w:val="center"/>
          </w:tcPr>
          <w:p w14:paraId="26A1AE94">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上网行为管理</w:t>
            </w:r>
          </w:p>
        </w:tc>
        <w:tc>
          <w:tcPr>
            <w:tcW w:w="1894" w:type="dxa"/>
          </w:tcPr>
          <w:p w14:paraId="23B32BA0">
            <w:pPr>
              <w:widowControl/>
              <w:spacing w:after="48" w:line="360" w:lineRule="auto"/>
              <w:jc w:val="center"/>
              <w:rPr>
                <w:rFonts w:hint="eastAsia" w:ascii="宋体" w:hAnsi="宋体" w:eastAsia="宋体" w:cs="宋体"/>
                <w:sz w:val="24"/>
                <w:u w:color="000000"/>
              </w:rPr>
            </w:pPr>
          </w:p>
        </w:tc>
        <w:tc>
          <w:tcPr>
            <w:tcW w:w="696" w:type="dxa"/>
            <w:vAlign w:val="center"/>
          </w:tcPr>
          <w:p w14:paraId="2B9D5405">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4DAD14D0">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040456F8">
            <w:pPr>
              <w:widowControl/>
              <w:spacing w:after="48" w:line="360" w:lineRule="auto"/>
              <w:jc w:val="center"/>
              <w:rPr>
                <w:rFonts w:hint="eastAsia" w:ascii="宋体" w:hAnsi="宋体" w:eastAsia="宋体" w:cs="宋体"/>
                <w:sz w:val="24"/>
                <w:u w:color="000000"/>
              </w:rPr>
            </w:pPr>
          </w:p>
        </w:tc>
        <w:tc>
          <w:tcPr>
            <w:tcW w:w="951" w:type="dxa"/>
          </w:tcPr>
          <w:p w14:paraId="35890EAF">
            <w:pPr>
              <w:widowControl/>
              <w:spacing w:after="48" w:line="360" w:lineRule="auto"/>
              <w:jc w:val="center"/>
              <w:rPr>
                <w:rFonts w:hint="eastAsia" w:ascii="宋体" w:hAnsi="宋体" w:eastAsia="宋体" w:cs="宋体"/>
                <w:sz w:val="24"/>
                <w:u w:color="000000"/>
              </w:rPr>
            </w:pPr>
          </w:p>
        </w:tc>
      </w:tr>
      <w:tr w14:paraId="6A7D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6C74D74F">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11</w:t>
            </w:r>
          </w:p>
        </w:tc>
        <w:tc>
          <w:tcPr>
            <w:tcW w:w="1786" w:type="dxa"/>
            <w:vMerge w:val="continue"/>
            <w:vAlign w:val="center"/>
          </w:tcPr>
          <w:p w14:paraId="5974F293">
            <w:pPr>
              <w:widowControl/>
              <w:spacing w:after="48" w:line="360" w:lineRule="auto"/>
              <w:jc w:val="center"/>
              <w:rPr>
                <w:rFonts w:hint="eastAsia" w:ascii="宋体" w:hAnsi="宋体" w:eastAsia="宋体" w:cs="宋体"/>
                <w:sz w:val="24"/>
                <w:u w:color="000000"/>
              </w:rPr>
            </w:pPr>
          </w:p>
        </w:tc>
        <w:tc>
          <w:tcPr>
            <w:tcW w:w="1811" w:type="dxa"/>
            <w:vAlign w:val="center"/>
          </w:tcPr>
          <w:p w14:paraId="768ADB6C">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网络全量大数据日志审计</w:t>
            </w:r>
          </w:p>
        </w:tc>
        <w:tc>
          <w:tcPr>
            <w:tcW w:w="1894" w:type="dxa"/>
          </w:tcPr>
          <w:p w14:paraId="4810BF43">
            <w:pPr>
              <w:widowControl/>
              <w:spacing w:after="48" w:line="360" w:lineRule="auto"/>
              <w:jc w:val="center"/>
              <w:rPr>
                <w:rFonts w:hint="eastAsia" w:ascii="宋体" w:hAnsi="宋体" w:eastAsia="宋体" w:cs="宋体"/>
                <w:sz w:val="24"/>
                <w:u w:color="000000"/>
              </w:rPr>
            </w:pPr>
          </w:p>
        </w:tc>
        <w:tc>
          <w:tcPr>
            <w:tcW w:w="696" w:type="dxa"/>
            <w:vAlign w:val="center"/>
          </w:tcPr>
          <w:p w14:paraId="45863F16">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4A2F0F5A">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台</w:t>
            </w:r>
          </w:p>
        </w:tc>
        <w:tc>
          <w:tcPr>
            <w:tcW w:w="1080" w:type="dxa"/>
          </w:tcPr>
          <w:p w14:paraId="0A6CB9CE">
            <w:pPr>
              <w:widowControl/>
              <w:spacing w:after="48" w:line="360" w:lineRule="auto"/>
              <w:jc w:val="center"/>
              <w:rPr>
                <w:rFonts w:hint="eastAsia" w:ascii="宋体" w:hAnsi="宋体" w:eastAsia="宋体" w:cs="宋体"/>
                <w:sz w:val="24"/>
                <w:u w:color="000000"/>
              </w:rPr>
            </w:pPr>
          </w:p>
        </w:tc>
        <w:tc>
          <w:tcPr>
            <w:tcW w:w="951" w:type="dxa"/>
          </w:tcPr>
          <w:p w14:paraId="0820B99B">
            <w:pPr>
              <w:widowControl/>
              <w:spacing w:after="48" w:line="360" w:lineRule="auto"/>
              <w:jc w:val="center"/>
              <w:rPr>
                <w:rFonts w:hint="eastAsia" w:ascii="宋体" w:hAnsi="宋体" w:eastAsia="宋体" w:cs="宋体"/>
                <w:sz w:val="24"/>
                <w:u w:color="000000"/>
              </w:rPr>
            </w:pPr>
          </w:p>
        </w:tc>
      </w:tr>
      <w:tr w14:paraId="57AF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5B1168B2">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12</w:t>
            </w:r>
          </w:p>
        </w:tc>
        <w:tc>
          <w:tcPr>
            <w:tcW w:w="1786" w:type="dxa"/>
            <w:vMerge w:val="continue"/>
            <w:shd w:val="clear" w:color="auto" w:fill="auto"/>
            <w:vAlign w:val="center"/>
          </w:tcPr>
          <w:p w14:paraId="45EA4B0E">
            <w:pPr>
              <w:widowControl/>
              <w:spacing w:after="48" w:line="360" w:lineRule="auto"/>
              <w:jc w:val="center"/>
              <w:rPr>
                <w:rFonts w:hint="eastAsia" w:ascii="宋体" w:hAnsi="宋体" w:eastAsia="宋体" w:cs="宋体"/>
                <w:sz w:val="24"/>
                <w:u w:color="000000"/>
              </w:rPr>
            </w:pPr>
          </w:p>
        </w:tc>
        <w:tc>
          <w:tcPr>
            <w:tcW w:w="1811" w:type="dxa"/>
            <w:shd w:val="clear" w:color="auto" w:fill="auto"/>
            <w:vAlign w:val="center"/>
          </w:tcPr>
          <w:p w14:paraId="484E427C">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外网无线控制器</w:t>
            </w:r>
          </w:p>
        </w:tc>
        <w:tc>
          <w:tcPr>
            <w:tcW w:w="1894" w:type="dxa"/>
          </w:tcPr>
          <w:p w14:paraId="7D59662F">
            <w:pPr>
              <w:widowControl/>
              <w:spacing w:after="48" w:line="360" w:lineRule="auto"/>
              <w:jc w:val="center"/>
              <w:rPr>
                <w:rFonts w:hint="eastAsia" w:ascii="宋体" w:hAnsi="宋体" w:eastAsia="宋体" w:cs="宋体"/>
                <w:sz w:val="24"/>
                <w:u w:color="000000"/>
              </w:rPr>
            </w:pPr>
          </w:p>
        </w:tc>
        <w:tc>
          <w:tcPr>
            <w:tcW w:w="696" w:type="dxa"/>
            <w:vAlign w:val="center"/>
          </w:tcPr>
          <w:p w14:paraId="69B222CA">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71ED9A30">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套</w:t>
            </w:r>
          </w:p>
        </w:tc>
        <w:tc>
          <w:tcPr>
            <w:tcW w:w="1080" w:type="dxa"/>
          </w:tcPr>
          <w:p w14:paraId="4341187A">
            <w:pPr>
              <w:widowControl/>
              <w:spacing w:after="48" w:line="360" w:lineRule="auto"/>
              <w:jc w:val="center"/>
              <w:rPr>
                <w:rFonts w:hint="eastAsia" w:ascii="宋体" w:hAnsi="宋体" w:eastAsia="宋体" w:cs="宋体"/>
                <w:sz w:val="24"/>
                <w:u w:color="000000"/>
              </w:rPr>
            </w:pPr>
          </w:p>
        </w:tc>
        <w:tc>
          <w:tcPr>
            <w:tcW w:w="951" w:type="dxa"/>
          </w:tcPr>
          <w:p w14:paraId="3354CFAC">
            <w:pPr>
              <w:widowControl/>
              <w:spacing w:after="48" w:line="360" w:lineRule="auto"/>
              <w:jc w:val="center"/>
              <w:rPr>
                <w:rFonts w:hint="eastAsia" w:ascii="宋体" w:hAnsi="宋体" w:eastAsia="宋体" w:cs="宋体"/>
                <w:sz w:val="24"/>
                <w:u w:color="000000"/>
              </w:rPr>
            </w:pPr>
          </w:p>
        </w:tc>
      </w:tr>
      <w:tr w14:paraId="5CC9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0B993360">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13</w:t>
            </w:r>
          </w:p>
        </w:tc>
        <w:tc>
          <w:tcPr>
            <w:tcW w:w="1786" w:type="dxa"/>
            <w:vMerge w:val="continue"/>
            <w:vAlign w:val="center"/>
          </w:tcPr>
          <w:p w14:paraId="0F54AA04">
            <w:pPr>
              <w:widowControl/>
              <w:spacing w:after="48" w:line="360" w:lineRule="auto"/>
              <w:jc w:val="center"/>
              <w:rPr>
                <w:rFonts w:hint="eastAsia" w:ascii="宋体" w:hAnsi="宋体" w:eastAsia="宋体" w:cs="宋体"/>
                <w:sz w:val="24"/>
                <w:u w:color="000000"/>
              </w:rPr>
            </w:pPr>
          </w:p>
        </w:tc>
        <w:tc>
          <w:tcPr>
            <w:tcW w:w="1811" w:type="dxa"/>
            <w:vAlign w:val="center"/>
          </w:tcPr>
          <w:p w14:paraId="3E0B2183">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内网无线控制器license</w:t>
            </w:r>
          </w:p>
        </w:tc>
        <w:tc>
          <w:tcPr>
            <w:tcW w:w="1894" w:type="dxa"/>
          </w:tcPr>
          <w:p w14:paraId="4C11720F">
            <w:pPr>
              <w:widowControl/>
              <w:spacing w:after="48" w:line="360" w:lineRule="auto"/>
              <w:jc w:val="center"/>
              <w:rPr>
                <w:rFonts w:hint="eastAsia" w:ascii="宋体" w:hAnsi="宋体" w:eastAsia="宋体" w:cs="宋体"/>
                <w:sz w:val="24"/>
                <w:u w:color="000000"/>
              </w:rPr>
            </w:pPr>
          </w:p>
        </w:tc>
        <w:tc>
          <w:tcPr>
            <w:tcW w:w="696" w:type="dxa"/>
            <w:vAlign w:val="center"/>
          </w:tcPr>
          <w:p w14:paraId="545190A0">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58262889">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套</w:t>
            </w:r>
          </w:p>
        </w:tc>
        <w:tc>
          <w:tcPr>
            <w:tcW w:w="1080" w:type="dxa"/>
          </w:tcPr>
          <w:p w14:paraId="4AEDE483">
            <w:pPr>
              <w:widowControl/>
              <w:spacing w:after="48" w:line="360" w:lineRule="auto"/>
              <w:jc w:val="center"/>
              <w:rPr>
                <w:rFonts w:hint="eastAsia" w:ascii="宋体" w:hAnsi="宋体" w:eastAsia="宋体" w:cs="宋体"/>
                <w:sz w:val="24"/>
                <w:u w:color="000000"/>
              </w:rPr>
            </w:pPr>
          </w:p>
        </w:tc>
        <w:tc>
          <w:tcPr>
            <w:tcW w:w="951" w:type="dxa"/>
          </w:tcPr>
          <w:p w14:paraId="23646024">
            <w:pPr>
              <w:widowControl/>
              <w:spacing w:after="48" w:line="360" w:lineRule="auto"/>
              <w:jc w:val="center"/>
              <w:rPr>
                <w:rFonts w:hint="eastAsia" w:ascii="宋体" w:hAnsi="宋体" w:eastAsia="宋体" w:cs="宋体"/>
                <w:sz w:val="24"/>
                <w:u w:color="000000"/>
              </w:rPr>
            </w:pPr>
          </w:p>
        </w:tc>
      </w:tr>
      <w:tr w14:paraId="093D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26A35DDC">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14</w:t>
            </w:r>
          </w:p>
        </w:tc>
        <w:tc>
          <w:tcPr>
            <w:tcW w:w="1786" w:type="dxa"/>
            <w:vMerge w:val="continue"/>
            <w:vAlign w:val="center"/>
          </w:tcPr>
          <w:p w14:paraId="645495F7">
            <w:pPr>
              <w:widowControl/>
              <w:spacing w:after="48" w:line="360" w:lineRule="auto"/>
              <w:jc w:val="center"/>
              <w:rPr>
                <w:rFonts w:hint="eastAsia" w:ascii="宋体" w:hAnsi="宋体" w:eastAsia="宋体" w:cs="宋体"/>
                <w:sz w:val="24"/>
                <w:u w:color="000000"/>
              </w:rPr>
            </w:pPr>
          </w:p>
        </w:tc>
        <w:tc>
          <w:tcPr>
            <w:tcW w:w="1811" w:type="dxa"/>
            <w:vAlign w:val="center"/>
          </w:tcPr>
          <w:p w14:paraId="1C0A04CB">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万兆多模光模块</w:t>
            </w:r>
          </w:p>
        </w:tc>
        <w:tc>
          <w:tcPr>
            <w:tcW w:w="1894" w:type="dxa"/>
          </w:tcPr>
          <w:p w14:paraId="47668DFA">
            <w:pPr>
              <w:widowControl/>
              <w:spacing w:after="48" w:line="360" w:lineRule="auto"/>
              <w:jc w:val="center"/>
              <w:rPr>
                <w:rFonts w:hint="eastAsia" w:ascii="宋体" w:hAnsi="宋体" w:eastAsia="宋体" w:cs="宋体"/>
                <w:sz w:val="24"/>
                <w:u w:color="000000"/>
              </w:rPr>
            </w:pPr>
          </w:p>
        </w:tc>
        <w:tc>
          <w:tcPr>
            <w:tcW w:w="696" w:type="dxa"/>
            <w:vAlign w:val="center"/>
          </w:tcPr>
          <w:p w14:paraId="44618C6F">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6D554547">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套</w:t>
            </w:r>
          </w:p>
        </w:tc>
        <w:tc>
          <w:tcPr>
            <w:tcW w:w="1080" w:type="dxa"/>
          </w:tcPr>
          <w:p w14:paraId="7B4FB584">
            <w:pPr>
              <w:widowControl/>
              <w:spacing w:after="48" w:line="360" w:lineRule="auto"/>
              <w:jc w:val="center"/>
              <w:rPr>
                <w:rFonts w:hint="eastAsia" w:ascii="宋体" w:hAnsi="宋体" w:eastAsia="宋体" w:cs="宋体"/>
                <w:sz w:val="24"/>
                <w:u w:color="000000"/>
              </w:rPr>
            </w:pPr>
          </w:p>
        </w:tc>
        <w:tc>
          <w:tcPr>
            <w:tcW w:w="951" w:type="dxa"/>
          </w:tcPr>
          <w:p w14:paraId="3BF38B8E">
            <w:pPr>
              <w:widowControl/>
              <w:spacing w:after="48" w:line="360" w:lineRule="auto"/>
              <w:jc w:val="center"/>
              <w:rPr>
                <w:rFonts w:hint="eastAsia" w:ascii="宋体" w:hAnsi="宋体" w:eastAsia="宋体" w:cs="宋体"/>
                <w:sz w:val="24"/>
                <w:u w:color="000000"/>
              </w:rPr>
            </w:pPr>
          </w:p>
        </w:tc>
      </w:tr>
      <w:tr w14:paraId="30BE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19F5E1A8">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15</w:t>
            </w:r>
          </w:p>
        </w:tc>
        <w:tc>
          <w:tcPr>
            <w:tcW w:w="1786" w:type="dxa"/>
            <w:vMerge w:val="continue"/>
            <w:vAlign w:val="center"/>
          </w:tcPr>
          <w:p w14:paraId="08DE99C4">
            <w:pPr>
              <w:widowControl/>
              <w:spacing w:after="48" w:line="360" w:lineRule="auto"/>
              <w:jc w:val="center"/>
              <w:rPr>
                <w:rFonts w:hint="eastAsia" w:ascii="宋体" w:hAnsi="宋体" w:eastAsia="宋体" w:cs="宋体"/>
                <w:sz w:val="24"/>
                <w:u w:color="000000"/>
              </w:rPr>
            </w:pPr>
          </w:p>
        </w:tc>
        <w:tc>
          <w:tcPr>
            <w:tcW w:w="1811" w:type="dxa"/>
            <w:vAlign w:val="center"/>
          </w:tcPr>
          <w:p w14:paraId="5EBD9C5D">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网管平台扩容</w:t>
            </w:r>
          </w:p>
        </w:tc>
        <w:tc>
          <w:tcPr>
            <w:tcW w:w="1894" w:type="dxa"/>
          </w:tcPr>
          <w:p w14:paraId="2B24836A">
            <w:pPr>
              <w:widowControl/>
              <w:spacing w:after="48" w:line="360" w:lineRule="auto"/>
              <w:jc w:val="center"/>
              <w:rPr>
                <w:rFonts w:hint="eastAsia" w:ascii="宋体" w:hAnsi="宋体" w:eastAsia="宋体" w:cs="宋体"/>
                <w:sz w:val="24"/>
                <w:u w:color="000000"/>
              </w:rPr>
            </w:pPr>
          </w:p>
        </w:tc>
        <w:tc>
          <w:tcPr>
            <w:tcW w:w="696" w:type="dxa"/>
            <w:vAlign w:val="center"/>
          </w:tcPr>
          <w:p w14:paraId="32D23501">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45482361">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套</w:t>
            </w:r>
          </w:p>
        </w:tc>
        <w:tc>
          <w:tcPr>
            <w:tcW w:w="1080" w:type="dxa"/>
          </w:tcPr>
          <w:p w14:paraId="7B822D08">
            <w:pPr>
              <w:widowControl/>
              <w:spacing w:after="48" w:line="360" w:lineRule="auto"/>
              <w:jc w:val="center"/>
              <w:rPr>
                <w:rFonts w:hint="eastAsia" w:ascii="宋体" w:hAnsi="宋体" w:eastAsia="宋体" w:cs="宋体"/>
                <w:sz w:val="24"/>
                <w:u w:color="000000"/>
              </w:rPr>
            </w:pPr>
          </w:p>
        </w:tc>
        <w:tc>
          <w:tcPr>
            <w:tcW w:w="951" w:type="dxa"/>
          </w:tcPr>
          <w:p w14:paraId="4C068238">
            <w:pPr>
              <w:widowControl/>
              <w:spacing w:after="48" w:line="360" w:lineRule="auto"/>
              <w:jc w:val="center"/>
              <w:rPr>
                <w:rFonts w:hint="eastAsia" w:ascii="宋体" w:hAnsi="宋体" w:eastAsia="宋体" w:cs="宋体"/>
                <w:sz w:val="24"/>
                <w:u w:color="000000"/>
              </w:rPr>
            </w:pPr>
          </w:p>
        </w:tc>
      </w:tr>
      <w:tr w14:paraId="39F1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712BD438">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rPr>
              <w:t>16</w:t>
            </w:r>
          </w:p>
        </w:tc>
        <w:tc>
          <w:tcPr>
            <w:tcW w:w="1786" w:type="dxa"/>
            <w:vMerge w:val="continue"/>
            <w:vAlign w:val="center"/>
          </w:tcPr>
          <w:p w14:paraId="0363CA9E">
            <w:pPr>
              <w:widowControl/>
              <w:spacing w:after="48" w:line="360" w:lineRule="auto"/>
              <w:jc w:val="center"/>
              <w:rPr>
                <w:rFonts w:hint="eastAsia" w:ascii="宋体" w:hAnsi="宋体" w:eastAsia="宋体" w:cs="宋体"/>
                <w:sz w:val="24"/>
                <w:u w:color="000000"/>
              </w:rPr>
            </w:pPr>
          </w:p>
        </w:tc>
        <w:tc>
          <w:tcPr>
            <w:tcW w:w="1811" w:type="dxa"/>
            <w:shd w:val="clear" w:color="auto" w:fill="auto"/>
            <w:vAlign w:val="center"/>
          </w:tcPr>
          <w:p w14:paraId="3391432F">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工程辅料</w:t>
            </w:r>
          </w:p>
        </w:tc>
        <w:tc>
          <w:tcPr>
            <w:tcW w:w="1894" w:type="dxa"/>
          </w:tcPr>
          <w:p w14:paraId="5C94ACED">
            <w:pPr>
              <w:widowControl/>
              <w:spacing w:after="48" w:line="360" w:lineRule="auto"/>
              <w:jc w:val="center"/>
              <w:rPr>
                <w:rFonts w:hint="eastAsia" w:ascii="宋体" w:hAnsi="宋体" w:eastAsia="宋体" w:cs="宋体"/>
                <w:sz w:val="24"/>
                <w:u w:color="000000"/>
              </w:rPr>
            </w:pPr>
          </w:p>
        </w:tc>
        <w:tc>
          <w:tcPr>
            <w:tcW w:w="696" w:type="dxa"/>
            <w:vAlign w:val="center"/>
          </w:tcPr>
          <w:p w14:paraId="64CB03FB">
            <w:pPr>
              <w:widowControl/>
              <w:spacing w:after="48" w:line="360" w:lineRule="auto"/>
              <w:jc w:val="center"/>
              <w:rPr>
                <w:rFonts w:hint="eastAsia" w:ascii="宋体" w:hAnsi="宋体" w:eastAsia="宋体" w:cs="宋体"/>
                <w:sz w:val="24"/>
                <w:u w:color="000000"/>
                <w:lang w:val="en-US" w:eastAsia="zh-CN"/>
              </w:rPr>
            </w:pPr>
            <w:r>
              <w:rPr>
                <w:rFonts w:hint="eastAsia" w:ascii="宋体" w:hAnsi="宋体" w:eastAsia="宋体" w:cs="宋体"/>
                <w:sz w:val="24"/>
                <w:u w:color="000000"/>
                <w:lang w:val="en-US" w:eastAsia="zh-CN"/>
              </w:rPr>
              <w:t>1</w:t>
            </w:r>
          </w:p>
        </w:tc>
        <w:tc>
          <w:tcPr>
            <w:tcW w:w="584" w:type="dxa"/>
            <w:vAlign w:val="center"/>
          </w:tcPr>
          <w:p w14:paraId="5E41A1EB">
            <w:pPr>
              <w:widowControl/>
              <w:spacing w:after="48" w:line="360" w:lineRule="auto"/>
              <w:jc w:val="center"/>
              <w:rPr>
                <w:rFonts w:hint="default" w:ascii="宋体" w:hAnsi="宋体" w:eastAsia="宋体" w:cs="宋体"/>
                <w:sz w:val="24"/>
                <w:u w:color="000000"/>
                <w:lang w:val="en-US" w:eastAsia="zh-CN"/>
              </w:rPr>
            </w:pPr>
            <w:r>
              <w:rPr>
                <w:rFonts w:hint="eastAsia" w:ascii="宋体" w:hAnsi="宋体" w:eastAsia="宋体" w:cs="宋体"/>
                <w:sz w:val="24"/>
                <w:u w:color="000000"/>
                <w:lang w:val="en-US" w:eastAsia="zh-CN"/>
              </w:rPr>
              <w:t>项</w:t>
            </w:r>
          </w:p>
        </w:tc>
        <w:tc>
          <w:tcPr>
            <w:tcW w:w="1080" w:type="dxa"/>
          </w:tcPr>
          <w:p w14:paraId="5B1E17E3">
            <w:pPr>
              <w:widowControl/>
              <w:spacing w:after="48" w:line="360" w:lineRule="auto"/>
              <w:jc w:val="center"/>
              <w:rPr>
                <w:rFonts w:hint="eastAsia" w:ascii="宋体" w:hAnsi="宋体" w:eastAsia="宋体" w:cs="宋体"/>
                <w:sz w:val="24"/>
                <w:u w:color="000000"/>
              </w:rPr>
            </w:pPr>
          </w:p>
        </w:tc>
        <w:tc>
          <w:tcPr>
            <w:tcW w:w="951" w:type="dxa"/>
          </w:tcPr>
          <w:p w14:paraId="56813123">
            <w:pPr>
              <w:widowControl/>
              <w:spacing w:after="48" w:line="360" w:lineRule="auto"/>
              <w:jc w:val="center"/>
              <w:rPr>
                <w:rFonts w:hint="eastAsia" w:ascii="宋体" w:hAnsi="宋体" w:eastAsia="宋体" w:cs="宋体"/>
                <w:sz w:val="24"/>
                <w:u w:color="000000"/>
              </w:rPr>
            </w:pPr>
          </w:p>
        </w:tc>
      </w:tr>
      <w:tr w14:paraId="4FE5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133E1FA6">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rPr>
              <w:t>17</w:t>
            </w:r>
          </w:p>
        </w:tc>
        <w:tc>
          <w:tcPr>
            <w:tcW w:w="1786" w:type="dxa"/>
            <w:vMerge w:val="continue"/>
            <w:vAlign w:val="center"/>
          </w:tcPr>
          <w:p w14:paraId="0D20D888">
            <w:pPr>
              <w:widowControl/>
              <w:spacing w:after="48" w:line="360" w:lineRule="auto"/>
              <w:jc w:val="center"/>
              <w:rPr>
                <w:rFonts w:hint="eastAsia" w:ascii="宋体" w:hAnsi="宋体" w:eastAsia="宋体" w:cs="宋体"/>
                <w:sz w:val="24"/>
                <w:u w:color="000000"/>
              </w:rPr>
            </w:pPr>
          </w:p>
        </w:tc>
        <w:tc>
          <w:tcPr>
            <w:tcW w:w="1811" w:type="dxa"/>
            <w:shd w:val="clear" w:color="auto" w:fill="auto"/>
            <w:vAlign w:val="center"/>
          </w:tcPr>
          <w:p w14:paraId="5560BADC">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综合布线</w:t>
            </w:r>
          </w:p>
        </w:tc>
        <w:tc>
          <w:tcPr>
            <w:tcW w:w="1894" w:type="dxa"/>
          </w:tcPr>
          <w:p w14:paraId="10497D0F">
            <w:pPr>
              <w:widowControl/>
              <w:spacing w:after="48" w:line="360" w:lineRule="auto"/>
              <w:jc w:val="center"/>
              <w:rPr>
                <w:rFonts w:hint="eastAsia" w:ascii="宋体" w:hAnsi="宋体" w:eastAsia="宋体" w:cs="宋体"/>
                <w:sz w:val="24"/>
                <w:u w:color="000000"/>
              </w:rPr>
            </w:pPr>
          </w:p>
        </w:tc>
        <w:tc>
          <w:tcPr>
            <w:tcW w:w="696" w:type="dxa"/>
            <w:shd w:val="clear" w:color="auto" w:fill="auto"/>
            <w:vAlign w:val="center"/>
          </w:tcPr>
          <w:p w14:paraId="6EA63905">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lang w:val="en-US" w:eastAsia="zh-CN"/>
              </w:rPr>
              <w:t>1</w:t>
            </w:r>
          </w:p>
        </w:tc>
        <w:tc>
          <w:tcPr>
            <w:tcW w:w="584" w:type="dxa"/>
            <w:shd w:val="clear" w:color="auto" w:fill="auto"/>
            <w:vAlign w:val="center"/>
          </w:tcPr>
          <w:p w14:paraId="6D9E2B81">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lang w:val="en-US" w:eastAsia="zh-CN"/>
              </w:rPr>
              <w:t>项</w:t>
            </w:r>
          </w:p>
        </w:tc>
        <w:tc>
          <w:tcPr>
            <w:tcW w:w="1080" w:type="dxa"/>
          </w:tcPr>
          <w:p w14:paraId="0B7317AB">
            <w:pPr>
              <w:widowControl/>
              <w:spacing w:after="48" w:line="360" w:lineRule="auto"/>
              <w:jc w:val="center"/>
              <w:rPr>
                <w:rFonts w:hint="eastAsia" w:ascii="宋体" w:hAnsi="宋体" w:eastAsia="宋体" w:cs="宋体"/>
                <w:sz w:val="24"/>
                <w:u w:color="000000"/>
              </w:rPr>
            </w:pPr>
          </w:p>
        </w:tc>
        <w:tc>
          <w:tcPr>
            <w:tcW w:w="951" w:type="dxa"/>
          </w:tcPr>
          <w:p w14:paraId="3524BD25">
            <w:pPr>
              <w:widowControl/>
              <w:spacing w:after="48" w:line="360" w:lineRule="auto"/>
              <w:jc w:val="center"/>
              <w:rPr>
                <w:rFonts w:hint="eastAsia" w:ascii="宋体" w:hAnsi="宋体" w:eastAsia="宋体" w:cs="宋体"/>
                <w:sz w:val="24"/>
                <w:u w:color="000000"/>
              </w:rPr>
            </w:pPr>
          </w:p>
        </w:tc>
      </w:tr>
      <w:tr w14:paraId="725D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dxa"/>
            <w:shd w:val="clear" w:color="auto" w:fill="auto"/>
            <w:vAlign w:val="center"/>
          </w:tcPr>
          <w:p w14:paraId="3B45724C">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rPr>
              <w:t>18</w:t>
            </w:r>
          </w:p>
        </w:tc>
        <w:tc>
          <w:tcPr>
            <w:tcW w:w="1786" w:type="dxa"/>
            <w:vMerge w:val="continue"/>
            <w:vAlign w:val="center"/>
          </w:tcPr>
          <w:p w14:paraId="306BECF2">
            <w:pPr>
              <w:widowControl/>
              <w:spacing w:after="48" w:line="360" w:lineRule="auto"/>
              <w:jc w:val="center"/>
              <w:rPr>
                <w:rFonts w:hint="eastAsia" w:ascii="宋体" w:hAnsi="宋体" w:eastAsia="宋体" w:cs="宋体"/>
                <w:sz w:val="24"/>
                <w:u w:color="000000"/>
              </w:rPr>
            </w:pPr>
          </w:p>
        </w:tc>
        <w:tc>
          <w:tcPr>
            <w:tcW w:w="1811" w:type="dxa"/>
            <w:shd w:val="clear" w:color="auto" w:fill="auto"/>
            <w:vAlign w:val="center"/>
          </w:tcPr>
          <w:p w14:paraId="7BB46AA4">
            <w:pPr>
              <w:spacing w:after="48"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工程实施/拆除服务</w:t>
            </w:r>
          </w:p>
        </w:tc>
        <w:tc>
          <w:tcPr>
            <w:tcW w:w="1894" w:type="dxa"/>
          </w:tcPr>
          <w:p w14:paraId="1497C371">
            <w:pPr>
              <w:widowControl/>
              <w:spacing w:after="48" w:line="360" w:lineRule="auto"/>
              <w:jc w:val="center"/>
              <w:rPr>
                <w:rFonts w:hint="eastAsia" w:ascii="宋体" w:hAnsi="宋体" w:eastAsia="宋体" w:cs="宋体"/>
                <w:sz w:val="24"/>
                <w:u w:color="000000"/>
              </w:rPr>
            </w:pPr>
          </w:p>
        </w:tc>
        <w:tc>
          <w:tcPr>
            <w:tcW w:w="696" w:type="dxa"/>
            <w:shd w:val="clear" w:color="auto" w:fill="auto"/>
            <w:vAlign w:val="center"/>
          </w:tcPr>
          <w:p w14:paraId="33755034">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lang w:val="en-US" w:eastAsia="zh-CN"/>
              </w:rPr>
              <w:t>1</w:t>
            </w:r>
          </w:p>
        </w:tc>
        <w:tc>
          <w:tcPr>
            <w:tcW w:w="584" w:type="dxa"/>
            <w:shd w:val="clear" w:color="auto" w:fill="auto"/>
            <w:vAlign w:val="center"/>
          </w:tcPr>
          <w:p w14:paraId="4B56E95A">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lang w:val="en-US" w:eastAsia="zh-CN"/>
              </w:rPr>
              <w:t>项</w:t>
            </w:r>
          </w:p>
        </w:tc>
        <w:tc>
          <w:tcPr>
            <w:tcW w:w="1080" w:type="dxa"/>
          </w:tcPr>
          <w:p w14:paraId="0790170B">
            <w:pPr>
              <w:widowControl/>
              <w:spacing w:after="48" w:line="360" w:lineRule="auto"/>
              <w:jc w:val="center"/>
              <w:rPr>
                <w:rFonts w:hint="eastAsia" w:ascii="宋体" w:hAnsi="宋体" w:eastAsia="宋体" w:cs="宋体"/>
                <w:sz w:val="24"/>
                <w:u w:color="000000"/>
              </w:rPr>
            </w:pPr>
          </w:p>
        </w:tc>
        <w:tc>
          <w:tcPr>
            <w:tcW w:w="951" w:type="dxa"/>
          </w:tcPr>
          <w:p w14:paraId="64A3A73D">
            <w:pPr>
              <w:widowControl/>
              <w:spacing w:after="48" w:line="360" w:lineRule="auto"/>
              <w:jc w:val="center"/>
              <w:rPr>
                <w:rFonts w:hint="eastAsia" w:ascii="宋体" w:hAnsi="宋体" w:eastAsia="宋体" w:cs="宋体"/>
                <w:sz w:val="24"/>
                <w:u w:color="000000"/>
              </w:rPr>
            </w:pPr>
          </w:p>
        </w:tc>
      </w:tr>
      <w:tr w14:paraId="6453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484" w:type="dxa"/>
            <w:shd w:val="clear" w:color="auto" w:fill="auto"/>
            <w:vAlign w:val="center"/>
          </w:tcPr>
          <w:p w14:paraId="1501812A">
            <w:pPr>
              <w:widowControl/>
              <w:spacing w:after="48" w:line="360" w:lineRule="auto"/>
              <w:jc w:val="center"/>
              <w:rPr>
                <w:rFonts w:hint="eastAsia" w:ascii="宋体" w:hAnsi="宋体" w:eastAsia="宋体" w:cs="宋体"/>
                <w:kern w:val="2"/>
                <w:sz w:val="24"/>
                <w:szCs w:val="24"/>
                <w:u w:color="000000"/>
                <w:lang w:val="en-US" w:eastAsia="zh-CN" w:bidi="ar-SA"/>
              </w:rPr>
            </w:pPr>
            <w:r>
              <w:rPr>
                <w:rFonts w:hint="eastAsia" w:ascii="宋体" w:hAnsi="宋体" w:eastAsia="宋体" w:cs="宋体"/>
                <w:sz w:val="24"/>
                <w:u w:color="000000"/>
              </w:rPr>
              <w:t>19</w:t>
            </w:r>
          </w:p>
        </w:tc>
        <w:tc>
          <w:tcPr>
            <w:tcW w:w="1786" w:type="dxa"/>
            <w:vMerge w:val="restart"/>
            <w:shd w:val="clear" w:color="auto" w:fill="auto"/>
            <w:vAlign w:val="center"/>
          </w:tcPr>
          <w:p w14:paraId="75C4E745">
            <w:pPr>
              <w:spacing w:after="48"/>
              <w:jc w:val="center"/>
              <w:rPr>
                <w:rFonts w:hint="eastAsia" w:ascii="宋体" w:hAnsi="宋体" w:eastAsia="宋体" w:cs="宋体"/>
                <w:color w:val="000000"/>
                <w:kern w:val="24"/>
                <w:sz w:val="24"/>
              </w:rPr>
            </w:pPr>
            <w:r>
              <w:rPr>
                <w:rFonts w:hint="eastAsia" w:ascii="宋体" w:hAnsi="宋体" w:eastAsia="宋体" w:cs="宋体"/>
                <w:color w:val="000000"/>
                <w:kern w:val="24"/>
                <w:sz w:val="24"/>
              </w:rPr>
              <w:t>信息化运维服务</w:t>
            </w:r>
          </w:p>
        </w:tc>
        <w:tc>
          <w:tcPr>
            <w:tcW w:w="1811" w:type="dxa"/>
            <w:shd w:val="clear" w:color="auto" w:fill="auto"/>
            <w:vAlign w:val="center"/>
          </w:tcPr>
          <w:p w14:paraId="1DE9390E">
            <w:pPr>
              <w:spacing w:after="48"/>
              <w:jc w:val="center"/>
              <w:rPr>
                <w:rFonts w:hint="eastAsia" w:ascii="宋体" w:hAnsi="宋体" w:eastAsia="宋体" w:cs="宋体"/>
                <w:sz w:val="24"/>
                <w:u w:color="000000"/>
              </w:rPr>
            </w:pPr>
            <w:r>
              <w:rPr>
                <w:rFonts w:hint="eastAsia" w:ascii="宋体" w:hAnsi="宋体" w:eastAsia="宋体" w:cs="宋体"/>
                <w:color w:val="000000"/>
                <w:kern w:val="24"/>
                <w:sz w:val="24"/>
                <w:lang w:val="en-US" w:eastAsia="zh-CN"/>
              </w:rPr>
              <w:t>院内机房服务器存储设备运维服务</w:t>
            </w:r>
          </w:p>
        </w:tc>
        <w:tc>
          <w:tcPr>
            <w:tcW w:w="1894" w:type="dxa"/>
            <w:shd w:val="clear" w:color="auto" w:fill="auto"/>
          </w:tcPr>
          <w:p w14:paraId="173E92A6">
            <w:pPr>
              <w:widowControl/>
              <w:spacing w:after="48" w:line="360" w:lineRule="auto"/>
              <w:jc w:val="center"/>
              <w:rPr>
                <w:rFonts w:hint="eastAsia" w:ascii="宋体" w:hAnsi="宋体" w:eastAsia="宋体" w:cs="宋体"/>
                <w:sz w:val="24"/>
                <w:u w:color="000000"/>
              </w:rPr>
            </w:pPr>
          </w:p>
        </w:tc>
        <w:tc>
          <w:tcPr>
            <w:tcW w:w="696" w:type="dxa"/>
            <w:vAlign w:val="center"/>
          </w:tcPr>
          <w:p w14:paraId="568CA57F">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1</w:t>
            </w:r>
          </w:p>
        </w:tc>
        <w:tc>
          <w:tcPr>
            <w:tcW w:w="584" w:type="dxa"/>
            <w:vAlign w:val="center"/>
          </w:tcPr>
          <w:p w14:paraId="6CB5E601">
            <w:pPr>
              <w:widowControl/>
              <w:spacing w:after="48" w:line="360" w:lineRule="auto"/>
              <w:jc w:val="center"/>
              <w:rPr>
                <w:rFonts w:hint="eastAsia" w:ascii="宋体" w:hAnsi="宋体" w:eastAsia="宋体" w:cs="宋体"/>
                <w:sz w:val="24"/>
                <w:u w:color="000000"/>
                <w:lang w:val="en-US" w:eastAsia="zh-CN"/>
              </w:rPr>
            </w:pPr>
            <w:r>
              <w:rPr>
                <w:rFonts w:hint="eastAsia" w:ascii="宋体" w:hAnsi="宋体" w:eastAsia="宋体" w:cs="宋体"/>
                <w:sz w:val="24"/>
                <w:u w:color="000000"/>
                <w:lang w:val="en-US" w:eastAsia="zh-CN"/>
              </w:rPr>
              <w:t>项</w:t>
            </w:r>
          </w:p>
        </w:tc>
        <w:tc>
          <w:tcPr>
            <w:tcW w:w="1080" w:type="dxa"/>
          </w:tcPr>
          <w:p w14:paraId="1945B1A5">
            <w:pPr>
              <w:widowControl/>
              <w:spacing w:after="48" w:line="360" w:lineRule="auto"/>
              <w:jc w:val="center"/>
              <w:rPr>
                <w:rFonts w:hint="eastAsia" w:ascii="宋体" w:hAnsi="宋体" w:eastAsia="宋体" w:cs="宋体"/>
                <w:sz w:val="24"/>
                <w:u w:color="000000"/>
              </w:rPr>
            </w:pPr>
          </w:p>
        </w:tc>
        <w:tc>
          <w:tcPr>
            <w:tcW w:w="951" w:type="dxa"/>
          </w:tcPr>
          <w:p w14:paraId="21BCD565">
            <w:pPr>
              <w:widowControl/>
              <w:spacing w:after="48" w:line="360" w:lineRule="auto"/>
              <w:jc w:val="center"/>
              <w:rPr>
                <w:rFonts w:hint="eastAsia" w:ascii="宋体" w:hAnsi="宋体" w:eastAsia="宋体" w:cs="宋体"/>
                <w:sz w:val="24"/>
                <w:u w:color="000000"/>
              </w:rPr>
            </w:pPr>
          </w:p>
        </w:tc>
      </w:tr>
      <w:tr w14:paraId="33B5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84" w:type="dxa"/>
            <w:shd w:val="clear" w:color="auto" w:fill="auto"/>
            <w:vAlign w:val="center"/>
          </w:tcPr>
          <w:p w14:paraId="687DD286">
            <w:pPr>
              <w:widowControl/>
              <w:spacing w:after="48" w:line="360" w:lineRule="auto"/>
              <w:jc w:val="center"/>
              <w:rPr>
                <w:rFonts w:hint="default" w:ascii="宋体" w:hAnsi="宋体" w:eastAsia="宋体" w:cs="宋体"/>
                <w:sz w:val="24"/>
                <w:u w:color="000000"/>
                <w:lang w:val="en-US" w:eastAsia="zh-CN"/>
              </w:rPr>
            </w:pPr>
            <w:r>
              <w:rPr>
                <w:rFonts w:hint="eastAsia" w:ascii="宋体" w:hAnsi="宋体" w:eastAsia="宋体" w:cs="宋体"/>
                <w:sz w:val="24"/>
                <w:u w:color="000000"/>
                <w:lang w:val="en-US" w:eastAsia="zh-CN"/>
              </w:rPr>
              <w:t>20</w:t>
            </w:r>
          </w:p>
        </w:tc>
        <w:tc>
          <w:tcPr>
            <w:tcW w:w="1786" w:type="dxa"/>
            <w:vMerge w:val="continue"/>
            <w:vAlign w:val="center"/>
          </w:tcPr>
          <w:p w14:paraId="3E0240B0">
            <w:pPr>
              <w:widowControl/>
              <w:spacing w:after="48" w:line="360" w:lineRule="auto"/>
              <w:jc w:val="center"/>
              <w:rPr>
                <w:rFonts w:hint="eastAsia" w:ascii="宋体" w:hAnsi="宋体" w:eastAsia="宋体" w:cs="宋体"/>
                <w:sz w:val="24"/>
                <w:u w:color="000000"/>
              </w:rPr>
            </w:pPr>
          </w:p>
        </w:tc>
        <w:tc>
          <w:tcPr>
            <w:tcW w:w="1811" w:type="dxa"/>
            <w:vAlign w:val="center"/>
          </w:tcPr>
          <w:p w14:paraId="777869E3">
            <w:pPr>
              <w:spacing w:after="48"/>
              <w:jc w:val="center"/>
              <w:rPr>
                <w:rFonts w:hint="eastAsia" w:ascii="宋体" w:hAnsi="宋体" w:eastAsia="宋体" w:cs="宋体"/>
                <w:sz w:val="24"/>
                <w:u w:color="000000"/>
              </w:rPr>
            </w:pPr>
            <w:r>
              <w:rPr>
                <w:rFonts w:hint="eastAsia" w:ascii="宋体" w:hAnsi="宋体" w:eastAsia="宋体" w:cs="宋体"/>
                <w:color w:val="000000"/>
                <w:kern w:val="24"/>
                <w:sz w:val="24"/>
                <w:lang w:val="en-US" w:eastAsia="zh-CN"/>
              </w:rPr>
              <w:t xml:space="preserve">HIS系统&amp;集成平台运维服务 </w:t>
            </w:r>
          </w:p>
        </w:tc>
        <w:tc>
          <w:tcPr>
            <w:tcW w:w="1894" w:type="dxa"/>
          </w:tcPr>
          <w:p w14:paraId="61833461">
            <w:pPr>
              <w:widowControl/>
              <w:spacing w:after="48" w:line="360" w:lineRule="auto"/>
              <w:jc w:val="center"/>
              <w:rPr>
                <w:rFonts w:hint="eastAsia" w:ascii="宋体" w:hAnsi="宋体" w:eastAsia="宋体" w:cs="宋体"/>
                <w:sz w:val="24"/>
                <w:u w:color="000000"/>
              </w:rPr>
            </w:pPr>
          </w:p>
        </w:tc>
        <w:tc>
          <w:tcPr>
            <w:tcW w:w="696" w:type="dxa"/>
            <w:vAlign w:val="center"/>
          </w:tcPr>
          <w:p w14:paraId="017D6474">
            <w:pPr>
              <w:widowControl/>
              <w:spacing w:after="48" w:line="360" w:lineRule="auto"/>
              <w:jc w:val="center"/>
              <w:rPr>
                <w:rFonts w:hint="eastAsia" w:ascii="宋体" w:hAnsi="宋体" w:eastAsia="宋体" w:cs="宋体"/>
                <w:sz w:val="24"/>
                <w:u w:color="000000"/>
                <w:lang w:val="en-US" w:eastAsia="zh-CN"/>
              </w:rPr>
            </w:pPr>
            <w:r>
              <w:rPr>
                <w:rFonts w:hint="eastAsia" w:ascii="宋体" w:hAnsi="宋体" w:eastAsia="宋体" w:cs="宋体"/>
                <w:sz w:val="24"/>
                <w:u w:color="000000"/>
                <w:lang w:val="en-US" w:eastAsia="zh-CN"/>
              </w:rPr>
              <w:t>1</w:t>
            </w:r>
          </w:p>
        </w:tc>
        <w:tc>
          <w:tcPr>
            <w:tcW w:w="584" w:type="dxa"/>
            <w:vAlign w:val="center"/>
          </w:tcPr>
          <w:p w14:paraId="4283693E">
            <w:pPr>
              <w:widowControl/>
              <w:spacing w:after="48" w:line="360" w:lineRule="auto"/>
              <w:jc w:val="center"/>
              <w:rPr>
                <w:rFonts w:hint="eastAsia" w:ascii="宋体" w:hAnsi="宋体" w:eastAsia="宋体" w:cs="宋体"/>
                <w:sz w:val="24"/>
                <w:u w:color="000000"/>
                <w:lang w:val="en-US" w:eastAsia="zh-CN"/>
              </w:rPr>
            </w:pPr>
            <w:r>
              <w:rPr>
                <w:rFonts w:hint="eastAsia" w:ascii="宋体" w:hAnsi="宋体" w:eastAsia="宋体" w:cs="宋体"/>
                <w:sz w:val="24"/>
                <w:u w:color="000000"/>
                <w:lang w:val="en-US" w:eastAsia="zh-CN"/>
              </w:rPr>
              <w:t>项</w:t>
            </w:r>
          </w:p>
        </w:tc>
        <w:tc>
          <w:tcPr>
            <w:tcW w:w="1080" w:type="dxa"/>
          </w:tcPr>
          <w:p w14:paraId="466944B8">
            <w:pPr>
              <w:widowControl/>
              <w:spacing w:after="48" w:line="360" w:lineRule="auto"/>
              <w:jc w:val="center"/>
              <w:rPr>
                <w:rFonts w:hint="eastAsia" w:ascii="宋体" w:hAnsi="宋体" w:eastAsia="宋体" w:cs="宋体"/>
                <w:sz w:val="24"/>
                <w:u w:color="000000"/>
              </w:rPr>
            </w:pPr>
          </w:p>
        </w:tc>
        <w:tc>
          <w:tcPr>
            <w:tcW w:w="951" w:type="dxa"/>
          </w:tcPr>
          <w:p w14:paraId="4F7E19F0">
            <w:pPr>
              <w:widowControl/>
              <w:spacing w:after="48" w:line="360" w:lineRule="auto"/>
              <w:jc w:val="center"/>
              <w:rPr>
                <w:rFonts w:hint="eastAsia" w:ascii="宋体" w:hAnsi="宋体" w:eastAsia="宋体" w:cs="宋体"/>
                <w:sz w:val="24"/>
                <w:u w:color="000000"/>
              </w:rPr>
            </w:pPr>
          </w:p>
        </w:tc>
      </w:tr>
      <w:tr w14:paraId="693F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84" w:type="dxa"/>
            <w:shd w:val="clear" w:color="auto" w:fill="auto"/>
            <w:vAlign w:val="center"/>
          </w:tcPr>
          <w:p w14:paraId="66CD2F1D">
            <w:pPr>
              <w:widowControl/>
              <w:spacing w:after="48" w:line="360" w:lineRule="auto"/>
              <w:jc w:val="center"/>
              <w:rPr>
                <w:rFonts w:hint="default" w:ascii="宋体" w:hAnsi="宋体" w:eastAsia="宋体" w:cs="宋体"/>
                <w:sz w:val="24"/>
                <w:u w:color="000000"/>
                <w:lang w:val="en-US" w:eastAsia="zh-CN"/>
              </w:rPr>
            </w:pPr>
            <w:r>
              <w:rPr>
                <w:rFonts w:hint="eastAsia" w:ascii="宋体" w:hAnsi="宋体" w:eastAsia="宋体" w:cs="宋体"/>
                <w:sz w:val="24"/>
                <w:u w:color="000000"/>
                <w:lang w:val="en-US" w:eastAsia="zh-CN"/>
              </w:rPr>
              <w:t>21</w:t>
            </w:r>
          </w:p>
        </w:tc>
        <w:tc>
          <w:tcPr>
            <w:tcW w:w="1786" w:type="dxa"/>
            <w:vMerge w:val="continue"/>
            <w:vAlign w:val="center"/>
          </w:tcPr>
          <w:p w14:paraId="689564C4">
            <w:pPr>
              <w:widowControl/>
              <w:spacing w:after="48" w:line="360" w:lineRule="auto"/>
              <w:jc w:val="center"/>
              <w:rPr>
                <w:rFonts w:hint="eastAsia" w:ascii="宋体" w:hAnsi="宋体" w:eastAsia="宋体" w:cs="宋体"/>
                <w:sz w:val="24"/>
                <w:u w:color="000000"/>
              </w:rPr>
            </w:pPr>
          </w:p>
        </w:tc>
        <w:tc>
          <w:tcPr>
            <w:tcW w:w="1811" w:type="dxa"/>
            <w:vAlign w:val="center"/>
          </w:tcPr>
          <w:p w14:paraId="4647AF5C">
            <w:pPr>
              <w:spacing w:after="48"/>
              <w:jc w:val="center"/>
              <w:rPr>
                <w:rFonts w:hint="eastAsia" w:ascii="宋体" w:hAnsi="宋体" w:eastAsia="宋体" w:cs="宋体"/>
                <w:sz w:val="24"/>
                <w:u w:color="000000"/>
              </w:rPr>
            </w:pPr>
            <w:r>
              <w:rPr>
                <w:rFonts w:hint="eastAsia" w:ascii="宋体" w:hAnsi="宋体" w:eastAsia="宋体" w:cs="宋体"/>
                <w:color w:val="000000"/>
                <w:kern w:val="24"/>
                <w:sz w:val="24"/>
                <w:lang w:val="en-US" w:eastAsia="zh-CN"/>
              </w:rPr>
              <w:t>运维施工服务</w:t>
            </w:r>
          </w:p>
        </w:tc>
        <w:tc>
          <w:tcPr>
            <w:tcW w:w="1894" w:type="dxa"/>
          </w:tcPr>
          <w:p w14:paraId="471F3570">
            <w:pPr>
              <w:widowControl/>
              <w:spacing w:after="48" w:line="360" w:lineRule="auto"/>
              <w:jc w:val="center"/>
              <w:rPr>
                <w:rFonts w:hint="eastAsia" w:ascii="宋体" w:hAnsi="宋体" w:eastAsia="宋体" w:cs="宋体"/>
                <w:sz w:val="24"/>
                <w:u w:color="000000"/>
              </w:rPr>
            </w:pPr>
          </w:p>
        </w:tc>
        <w:tc>
          <w:tcPr>
            <w:tcW w:w="696" w:type="dxa"/>
            <w:vAlign w:val="center"/>
          </w:tcPr>
          <w:p w14:paraId="1351DB70">
            <w:pPr>
              <w:widowControl/>
              <w:spacing w:after="48" w:line="360" w:lineRule="auto"/>
              <w:jc w:val="center"/>
              <w:rPr>
                <w:rFonts w:hint="eastAsia" w:ascii="宋体" w:hAnsi="宋体" w:eastAsia="宋体" w:cs="宋体"/>
                <w:sz w:val="24"/>
                <w:u w:color="000000"/>
                <w:lang w:val="en-US" w:eastAsia="zh-CN"/>
              </w:rPr>
            </w:pPr>
            <w:r>
              <w:rPr>
                <w:rFonts w:hint="eastAsia" w:ascii="宋体" w:hAnsi="宋体" w:eastAsia="宋体" w:cs="宋体"/>
                <w:sz w:val="24"/>
                <w:u w:color="000000"/>
                <w:lang w:val="en-US" w:eastAsia="zh-CN"/>
              </w:rPr>
              <w:t>1</w:t>
            </w:r>
          </w:p>
        </w:tc>
        <w:tc>
          <w:tcPr>
            <w:tcW w:w="584" w:type="dxa"/>
            <w:vAlign w:val="center"/>
          </w:tcPr>
          <w:p w14:paraId="465C11AF">
            <w:pPr>
              <w:widowControl/>
              <w:spacing w:after="48" w:line="360" w:lineRule="auto"/>
              <w:jc w:val="center"/>
              <w:rPr>
                <w:rFonts w:hint="eastAsia" w:ascii="宋体" w:hAnsi="宋体" w:eastAsia="宋体" w:cs="宋体"/>
                <w:sz w:val="24"/>
                <w:u w:color="000000"/>
                <w:lang w:val="en-US" w:eastAsia="zh-CN"/>
              </w:rPr>
            </w:pPr>
            <w:r>
              <w:rPr>
                <w:rFonts w:hint="eastAsia" w:ascii="宋体" w:hAnsi="宋体" w:eastAsia="宋体" w:cs="宋体"/>
                <w:sz w:val="24"/>
                <w:u w:color="000000"/>
                <w:lang w:val="en-US" w:eastAsia="zh-CN"/>
              </w:rPr>
              <w:t>项</w:t>
            </w:r>
          </w:p>
        </w:tc>
        <w:tc>
          <w:tcPr>
            <w:tcW w:w="1080" w:type="dxa"/>
          </w:tcPr>
          <w:p w14:paraId="551F30AD">
            <w:pPr>
              <w:widowControl/>
              <w:spacing w:after="48" w:line="360" w:lineRule="auto"/>
              <w:jc w:val="center"/>
              <w:rPr>
                <w:rFonts w:hint="eastAsia" w:ascii="宋体" w:hAnsi="宋体" w:eastAsia="宋体" w:cs="宋体"/>
                <w:sz w:val="24"/>
                <w:u w:color="000000"/>
              </w:rPr>
            </w:pPr>
          </w:p>
        </w:tc>
        <w:tc>
          <w:tcPr>
            <w:tcW w:w="951" w:type="dxa"/>
          </w:tcPr>
          <w:p w14:paraId="289B4F57">
            <w:pPr>
              <w:widowControl/>
              <w:spacing w:after="48" w:line="360" w:lineRule="auto"/>
              <w:jc w:val="center"/>
              <w:rPr>
                <w:rFonts w:hint="eastAsia" w:ascii="宋体" w:hAnsi="宋体" w:eastAsia="宋体" w:cs="宋体"/>
                <w:sz w:val="24"/>
                <w:u w:color="000000"/>
              </w:rPr>
            </w:pPr>
          </w:p>
        </w:tc>
      </w:tr>
      <w:tr w14:paraId="5627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335" w:type="dxa"/>
            <w:gridSpan w:val="7"/>
          </w:tcPr>
          <w:p w14:paraId="7713CF13">
            <w:pPr>
              <w:widowControl/>
              <w:spacing w:after="48" w:line="360" w:lineRule="auto"/>
              <w:jc w:val="center"/>
              <w:rPr>
                <w:rFonts w:hint="eastAsia" w:ascii="宋体" w:hAnsi="宋体" w:eastAsia="宋体" w:cs="宋体"/>
                <w:sz w:val="24"/>
                <w:u w:color="000000"/>
              </w:rPr>
            </w:pPr>
            <w:r>
              <w:rPr>
                <w:rFonts w:hint="eastAsia" w:ascii="宋体" w:hAnsi="宋体" w:eastAsia="宋体" w:cs="宋体"/>
                <w:sz w:val="24"/>
                <w:u w:color="000000"/>
              </w:rPr>
              <w:t>合计总价</w:t>
            </w:r>
          </w:p>
        </w:tc>
        <w:tc>
          <w:tcPr>
            <w:tcW w:w="951" w:type="dxa"/>
          </w:tcPr>
          <w:p w14:paraId="4DFBF660">
            <w:pPr>
              <w:widowControl/>
              <w:spacing w:after="48" w:line="360" w:lineRule="auto"/>
              <w:jc w:val="center"/>
              <w:rPr>
                <w:rFonts w:hint="eastAsia" w:ascii="宋体" w:hAnsi="宋体" w:eastAsia="宋体" w:cs="宋体"/>
                <w:sz w:val="24"/>
                <w:u w:color="000000"/>
              </w:rPr>
            </w:pPr>
          </w:p>
        </w:tc>
      </w:tr>
    </w:tbl>
    <w:p w14:paraId="4697F4E5">
      <w:pPr>
        <w:spacing w:after="48"/>
        <w:jc w:val="center"/>
        <w:rPr>
          <w:b/>
          <w:sz w:val="32"/>
        </w:rPr>
      </w:pPr>
    </w:p>
    <w:p w14:paraId="35A31F38">
      <w:pPr>
        <w:spacing w:after="48"/>
        <w:jc w:val="center"/>
        <w:rPr>
          <w:b/>
          <w:sz w:val="32"/>
        </w:rPr>
      </w:pPr>
    </w:p>
    <w:p w14:paraId="4DF164EF">
      <w:pPr>
        <w:pStyle w:val="17"/>
        <w:spacing w:after="48" w:line="360" w:lineRule="auto"/>
        <w:rPr>
          <w:rFonts w:hint="eastAsia" w:hAnsi="宋体" w:eastAsia="宋体" w:cs="宋体"/>
          <w:sz w:val="24"/>
        </w:rPr>
      </w:pPr>
      <w:r>
        <w:rPr>
          <w:rFonts w:hint="eastAsia" w:hAnsi="宋体" w:eastAsia="宋体" w:cs="宋体"/>
          <w:sz w:val="24"/>
        </w:rPr>
        <w:t>报价人名称（全称，并加盖公章）：__________________________</w:t>
      </w:r>
    </w:p>
    <w:p w14:paraId="40BA0A81">
      <w:pPr>
        <w:pStyle w:val="17"/>
        <w:spacing w:after="48" w:line="360" w:lineRule="auto"/>
        <w:rPr>
          <w:rFonts w:hint="eastAsia" w:hAnsi="宋体" w:eastAsia="宋体" w:cs="宋体"/>
          <w:sz w:val="24"/>
          <w:u w:val="single"/>
        </w:rPr>
      </w:pPr>
      <w:r>
        <w:rPr>
          <w:rFonts w:hint="eastAsia" w:hAnsi="宋体" w:eastAsia="宋体" w:cs="宋体"/>
          <w:sz w:val="24"/>
        </w:rPr>
        <w:t xml:space="preserve">法定代表人或投标人授权代表（签字）：__________________________ </w:t>
      </w:r>
    </w:p>
    <w:p w14:paraId="3C31BCFF">
      <w:pPr>
        <w:spacing w:after="48" w:line="360" w:lineRule="auto"/>
        <w:rPr>
          <w:rFonts w:hint="eastAsia" w:ascii="宋体" w:hAnsi="宋体" w:eastAsia="宋体" w:cs="宋体"/>
          <w:b/>
          <w:bCs/>
        </w:rPr>
      </w:pPr>
      <w:r>
        <w:rPr>
          <w:rFonts w:hint="eastAsia" w:ascii="宋体" w:hAnsi="宋体" w:eastAsia="宋体" w:cs="宋体"/>
          <w:sz w:val="24"/>
        </w:rPr>
        <w:t>日期：_______年_____月_____日</w:t>
      </w:r>
      <w:r>
        <w:rPr>
          <w:rFonts w:hint="eastAsia" w:ascii="宋体" w:hAnsi="宋体" w:eastAsia="宋体" w:cs="宋体"/>
          <w:b/>
          <w:bCs/>
          <w:sz w:val="24"/>
        </w:rPr>
        <w:t xml:space="preserve">     </w:t>
      </w:r>
      <w:r>
        <w:rPr>
          <w:rFonts w:hint="eastAsia" w:ascii="宋体" w:hAnsi="宋体" w:eastAsia="宋体" w:cs="宋体"/>
          <w:b/>
          <w:bCs/>
        </w:rPr>
        <w:t xml:space="preserve">            </w:t>
      </w:r>
    </w:p>
    <w:p w14:paraId="5B2C5D13">
      <w:pPr>
        <w:spacing w:after="48"/>
        <w:rPr>
          <w:rFonts w:hint="eastAsia" w:ascii="宋体" w:hAnsi="宋体" w:eastAsia="宋体" w:cs="宋体"/>
          <w:b/>
          <w:bCs/>
        </w:rPr>
      </w:pPr>
    </w:p>
    <w:p w14:paraId="4FFB84F5">
      <w:pPr>
        <w:spacing w:after="48" w:line="360" w:lineRule="auto"/>
        <w:rPr>
          <w:rFonts w:hint="eastAsia" w:ascii="宋体" w:hAnsi="宋体" w:eastAsia="宋体" w:cs="宋体"/>
          <w:bCs/>
          <w:szCs w:val="21"/>
        </w:rPr>
      </w:pPr>
      <w:r>
        <w:rPr>
          <w:rFonts w:hint="eastAsia" w:ascii="宋体" w:hAnsi="宋体" w:eastAsia="宋体" w:cs="宋体"/>
          <w:bCs/>
          <w:szCs w:val="21"/>
        </w:rPr>
        <w:t>特别说明：</w:t>
      </w:r>
    </w:p>
    <w:p w14:paraId="7F2889C9">
      <w:pPr>
        <w:spacing w:after="48" w:line="360" w:lineRule="auto"/>
        <w:rPr>
          <w:rFonts w:hint="eastAsia" w:ascii="宋体" w:hAnsi="宋体" w:eastAsia="宋体" w:cs="宋体"/>
          <w:b/>
          <w:bCs/>
          <w:szCs w:val="21"/>
        </w:rPr>
      </w:pPr>
      <w:r>
        <w:rPr>
          <w:rFonts w:hint="eastAsia" w:ascii="宋体" w:hAnsi="宋体" w:eastAsia="宋体" w:cs="宋体"/>
          <w:bCs/>
          <w:szCs w:val="21"/>
        </w:rPr>
        <w:t>1、</w:t>
      </w:r>
      <w:r>
        <w:rPr>
          <w:rFonts w:hint="eastAsia" w:ascii="宋体" w:hAnsi="宋体" w:eastAsia="宋体" w:cs="宋体"/>
          <w:b/>
          <w:bCs/>
          <w:szCs w:val="21"/>
        </w:rPr>
        <w:t>报价表中不能出现“赠送”“赠品”等字眼，如为满足用户需求确需另外配套的仪器、耗材等，应以“加配”“另配”等字眼注明。</w:t>
      </w:r>
    </w:p>
    <w:p w14:paraId="513ADB9B">
      <w:pPr>
        <w:spacing w:after="48" w:line="360" w:lineRule="auto"/>
        <w:rPr>
          <w:rFonts w:hint="eastAsia" w:ascii="宋体" w:hAnsi="宋体" w:eastAsia="宋体" w:cs="宋体"/>
          <w:bCs/>
          <w:szCs w:val="21"/>
        </w:rPr>
      </w:pPr>
      <w:r>
        <w:rPr>
          <w:rFonts w:hint="eastAsia" w:ascii="宋体" w:hAnsi="宋体" w:eastAsia="宋体" w:cs="宋体"/>
          <w:bCs/>
          <w:szCs w:val="21"/>
        </w:rPr>
        <w:t>2、报价人未提供详细分项报价可被视为没有实质性响应论证文件。</w:t>
      </w:r>
    </w:p>
    <w:p w14:paraId="5A079F40">
      <w:pPr>
        <w:spacing w:after="48" w:line="360" w:lineRule="auto"/>
        <w:rPr>
          <w:rFonts w:hint="eastAsia" w:ascii="宋体" w:hAnsi="宋体" w:eastAsia="宋体" w:cs="宋体"/>
          <w:b/>
          <w:bCs/>
          <w:szCs w:val="21"/>
        </w:rPr>
      </w:pPr>
      <w:r>
        <w:rPr>
          <w:rFonts w:hint="eastAsia" w:ascii="宋体" w:hAnsi="宋体" w:eastAsia="宋体" w:cs="宋体"/>
          <w:b/>
          <w:bCs/>
          <w:szCs w:val="21"/>
        </w:rPr>
        <w:t>3、报价已包含完成本项目服务的全部费用。</w:t>
      </w:r>
    </w:p>
    <w:sectPr>
      <w:headerReference r:id="rId7" w:type="first"/>
      <w:footerReference r:id="rId10" w:type="first"/>
      <w:headerReference r:id="rId5" w:type="default"/>
      <w:footerReference r:id="rId8" w:type="default"/>
      <w:headerReference r:id="rId6" w:type="even"/>
      <w:footerReference r:id="rId9" w:type="even"/>
      <w:pgSz w:w="11910" w:h="16840"/>
      <w:pgMar w:top="1417" w:right="1417" w:bottom="1417" w:left="1417" w:header="926" w:footer="0" w:gutter="0"/>
      <w:cols w:space="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BE1D7">
    <w:pPr>
      <w:pStyle w:val="21"/>
      <w:spacing w:after="48"/>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82D19">
    <w:pPr>
      <w:pStyle w:val="21"/>
      <w:spacing w:after="48"/>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5EA96">
    <w:pPr>
      <w:pStyle w:val="21"/>
      <w:spacing w:after="48"/>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7C2AC">
    <w:pPr>
      <w:pStyle w:val="7"/>
      <w:spacing w:after="48" w:line="14" w:lineRule="auto"/>
      <w:rPr>
        <w:rFonts w:hint="eastAsia"/>
        <w:sz w:val="20"/>
      </w:rPr>
    </w:pPr>
    <w:r>
      <mc:AlternateContent>
        <mc:Choice Requires="wps">
          <w:drawing>
            <wp:anchor distT="0" distB="0" distL="114300" distR="114300" simplePos="0" relativeHeight="251659264" behindDoc="1" locked="0" layoutInCell="1" allowOverlap="1">
              <wp:simplePos x="0" y="0"/>
              <wp:positionH relativeFrom="page">
                <wp:posOffset>1123950</wp:posOffset>
              </wp:positionH>
              <wp:positionV relativeFrom="page">
                <wp:posOffset>705485</wp:posOffset>
              </wp:positionV>
              <wp:extent cx="5312410" cy="8890"/>
              <wp:effectExtent l="0" t="0" r="0" b="0"/>
              <wp:wrapNone/>
              <wp:docPr id="1696356685" name="Rectangle 1"/>
              <wp:cNvGraphicFramePr/>
              <a:graphic xmlns:a="http://schemas.openxmlformats.org/drawingml/2006/main">
                <a:graphicData uri="http://schemas.microsoft.com/office/word/2010/wordprocessingShape">
                  <wps:wsp>
                    <wps:cNvSpPr>
                      <a:spLocks noChangeArrowheads="1"/>
                    </wps:cNvSpPr>
                    <wps:spPr bwMode="auto">
                      <a:xfrm>
                        <a:off x="0" y="0"/>
                        <a:ext cx="5312410" cy="889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Rectangle 1" o:spid="_x0000_s1026" o:spt="1" style="position:absolute;left:0pt;margin-left:88.5pt;margin-top:55.55pt;height:0.7pt;width:418.3pt;mso-position-horizontal-relative:page;mso-position-vertical-relative:page;z-index:-251657216;mso-width-relative:page;mso-height-relative:page;" fillcolor="#000000" filled="t" stroked="f" coordsize="21600,21600" o:gfxdata="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Y25dcAAAAMAQAADwAA&#10;AAAAAAABACAAAAAiAAAAZHJzL2Rvd25yZXYueG1sUEsBAhQAFAAAAAgAh07iQDIik5cXAgAAMAQA&#10;AA4AAAAAAAAAAQAgAAAAJgEAAGRycy9lMm9Eb2MueG1sUEsFBgAAAAAGAAYAWQEAAK8FAAAAAA==&#10;">
              <v:fill on="t" focussize="0,0"/>
              <v:stroke on="f"/>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3E006">
    <w:pPr>
      <w:pStyle w:val="22"/>
      <w:spacing w:after="48"/>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348E0">
    <w:pPr>
      <w:pStyle w:val="22"/>
      <w:spacing w:after="48"/>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19B7B"/>
    <w:multiLevelType w:val="singleLevel"/>
    <w:tmpl w:val="8FF19B7B"/>
    <w:lvl w:ilvl="0" w:tentative="0">
      <w:start w:val="1"/>
      <w:numFmt w:val="decimalEnclosedCircleChinese"/>
      <w:suff w:val="nothing"/>
      <w:lvlText w:val="%1　"/>
      <w:lvlJc w:val="left"/>
      <w:pPr>
        <w:ind w:left="-482" w:firstLine="400"/>
      </w:pPr>
      <w:rPr>
        <w:rFonts w:hint="eastAsia"/>
      </w:rPr>
    </w:lvl>
  </w:abstractNum>
  <w:abstractNum w:abstractNumId="1">
    <w:nsid w:val="A5FA3E25"/>
    <w:multiLevelType w:val="singleLevel"/>
    <w:tmpl w:val="A5FA3E25"/>
    <w:lvl w:ilvl="0" w:tentative="0">
      <w:start w:val="1"/>
      <w:numFmt w:val="decimal"/>
      <w:suff w:val="space"/>
      <w:lvlText w:val="%1."/>
      <w:lvlJc w:val="left"/>
    </w:lvl>
  </w:abstractNum>
  <w:abstractNum w:abstractNumId="2">
    <w:nsid w:val="C850CF95"/>
    <w:multiLevelType w:val="singleLevel"/>
    <w:tmpl w:val="C850CF95"/>
    <w:lvl w:ilvl="0" w:tentative="0">
      <w:start w:val="1"/>
      <w:numFmt w:val="decimal"/>
      <w:suff w:val="space"/>
      <w:lvlText w:val="%1."/>
      <w:lvlJc w:val="left"/>
    </w:lvl>
  </w:abstractNum>
  <w:abstractNum w:abstractNumId="3">
    <w:nsid w:val="C8E3E26D"/>
    <w:multiLevelType w:val="singleLevel"/>
    <w:tmpl w:val="C8E3E26D"/>
    <w:lvl w:ilvl="0" w:tentative="0">
      <w:start w:val="1"/>
      <w:numFmt w:val="decimal"/>
      <w:lvlText w:val="%1)"/>
      <w:lvlJc w:val="left"/>
      <w:pPr>
        <w:ind w:left="425" w:hanging="425"/>
      </w:pPr>
      <w:rPr>
        <w:rFonts w:hint="default"/>
      </w:rPr>
    </w:lvl>
  </w:abstractNum>
  <w:abstractNum w:abstractNumId="4">
    <w:nsid w:val="E05BFBDA"/>
    <w:multiLevelType w:val="singleLevel"/>
    <w:tmpl w:val="E05BFBDA"/>
    <w:lvl w:ilvl="0" w:tentative="0">
      <w:start w:val="1"/>
      <w:numFmt w:val="decimal"/>
      <w:suff w:val="space"/>
      <w:lvlText w:val="%1."/>
      <w:lvlJc w:val="left"/>
    </w:lvl>
  </w:abstractNum>
  <w:abstractNum w:abstractNumId="5">
    <w:nsid w:val="E4C6249C"/>
    <w:multiLevelType w:val="singleLevel"/>
    <w:tmpl w:val="E4C6249C"/>
    <w:lvl w:ilvl="0" w:tentative="0">
      <w:start w:val="1"/>
      <w:numFmt w:val="decimal"/>
      <w:suff w:val="space"/>
      <w:lvlText w:val="%1."/>
      <w:lvlJc w:val="left"/>
    </w:lvl>
  </w:abstractNum>
  <w:abstractNum w:abstractNumId="6">
    <w:nsid w:val="E6BC8277"/>
    <w:multiLevelType w:val="singleLevel"/>
    <w:tmpl w:val="E6BC8277"/>
    <w:lvl w:ilvl="0" w:tentative="0">
      <w:start w:val="1"/>
      <w:numFmt w:val="decimal"/>
      <w:lvlText w:val="%1)"/>
      <w:lvlJc w:val="left"/>
      <w:pPr>
        <w:ind w:left="425" w:hanging="425"/>
      </w:pPr>
      <w:rPr>
        <w:rFonts w:hint="default"/>
      </w:rPr>
    </w:lvl>
  </w:abstractNum>
  <w:abstractNum w:abstractNumId="7">
    <w:nsid w:val="F9C1DB2E"/>
    <w:multiLevelType w:val="singleLevel"/>
    <w:tmpl w:val="F9C1DB2E"/>
    <w:lvl w:ilvl="0" w:tentative="0">
      <w:start w:val="1"/>
      <w:numFmt w:val="decimal"/>
      <w:lvlText w:val="%1)"/>
      <w:lvlJc w:val="left"/>
      <w:pPr>
        <w:ind w:left="425" w:hanging="425"/>
      </w:pPr>
      <w:rPr>
        <w:rFonts w:hint="default"/>
      </w:rPr>
    </w:lvl>
  </w:abstractNum>
  <w:abstractNum w:abstractNumId="8">
    <w:nsid w:val="FF659B1F"/>
    <w:multiLevelType w:val="singleLevel"/>
    <w:tmpl w:val="FF659B1F"/>
    <w:lvl w:ilvl="0" w:tentative="0">
      <w:start w:val="1"/>
      <w:numFmt w:val="decimal"/>
      <w:suff w:val="space"/>
      <w:lvlText w:val="%1."/>
      <w:lvlJc w:val="left"/>
    </w:lvl>
  </w:abstractNum>
  <w:abstractNum w:abstractNumId="9">
    <w:nsid w:val="152C6349"/>
    <w:multiLevelType w:val="singleLevel"/>
    <w:tmpl w:val="152C6349"/>
    <w:lvl w:ilvl="0" w:tentative="0">
      <w:start w:val="1"/>
      <w:numFmt w:val="decimal"/>
      <w:suff w:val="nothing"/>
      <w:lvlText w:val="（%1）"/>
      <w:lvlJc w:val="left"/>
    </w:lvl>
  </w:abstractNum>
  <w:abstractNum w:abstractNumId="10">
    <w:nsid w:val="19DBB4CE"/>
    <w:multiLevelType w:val="singleLevel"/>
    <w:tmpl w:val="19DBB4CE"/>
    <w:lvl w:ilvl="0" w:tentative="0">
      <w:start w:val="1"/>
      <w:numFmt w:val="decimal"/>
      <w:suff w:val="space"/>
      <w:lvlText w:val="%1."/>
      <w:lvlJc w:val="left"/>
    </w:lvl>
  </w:abstractNum>
  <w:abstractNum w:abstractNumId="11">
    <w:nsid w:val="34810E2A"/>
    <w:multiLevelType w:val="singleLevel"/>
    <w:tmpl w:val="34810E2A"/>
    <w:lvl w:ilvl="0" w:tentative="0">
      <w:start w:val="1"/>
      <w:numFmt w:val="decimal"/>
      <w:suff w:val="space"/>
      <w:lvlText w:val="%1."/>
      <w:lvlJc w:val="left"/>
    </w:lvl>
  </w:abstractNum>
  <w:abstractNum w:abstractNumId="12">
    <w:nsid w:val="3E270DCF"/>
    <w:multiLevelType w:val="multilevel"/>
    <w:tmpl w:val="3E270DCF"/>
    <w:lvl w:ilvl="0" w:tentative="0">
      <w:start w:val="1"/>
      <w:numFmt w:val="decimal"/>
      <w:pStyle w:val="2"/>
      <w:suff w:val="space"/>
      <w:lvlText w:val="%1."/>
      <w:lvlJc w:val="left"/>
      <w:pPr>
        <w:ind w:left="0" w:firstLine="0"/>
      </w:pPr>
      <w:rPr>
        <w:rFonts w:hint="default" w:ascii="微软雅黑" w:hAnsi="微软雅黑" w:eastAsia="微软雅黑"/>
      </w:rPr>
    </w:lvl>
    <w:lvl w:ilvl="1" w:tentative="0">
      <w:start w:val="1"/>
      <w:numFmt w:val="decimal"/>
      <w:pStyle w:val="3"/>
      <w:suff w:val="space"/>
      <w:lvlText w:val="%1.%2."/>
      <w:lvlJc w:val="left"/>
      <w:pPr>
        <w:ind w:left="0" w:firstLine="0"/>
      </w:pPr>
      <w:rPr>
        <w:rFonts w:hint="default" w:ascii="微软雅黑" w:hAnsi="微软雅黑" w:eastAsia="微软雅黑"/>
      </w:rPr>
    </w:lvl>
    <w:lvl w:ilvl="2" w:tentative="0">
      <w:start w:val="1"/>
      <w:numFmt w:val="decimal"/>
      <w:pStyle w:val="4"/>
      <w:suff w:val="space"/>
      <w:lvlText w:val="%1.%2.%3."/>
      <w:lvlJc w:val="left"/>
      <w:pPr>
        <w:ind w:left="0" w:firstLine="0"/>
      </w:pPr>
      <w:rPr>
        <w:rFonts w:hint="default" w:ascii="微软雅黑" w:hAnsi="微软雅黑" w:eastAsia="微软雅黑"/>
      </w:rPr>
    </w:lvl>
    <w:lvl w:ilvl="3" w:tentative="0">
      <w:start w:val="1"/>
      <w:numFmt w:val="decimal"/>
      <w:pStyle w:val="5"/>
      <w:suff w:val="space"/>
      <w:lvlText w:val="%1.%2.%3.%4."/>
      <w:lvlJc w:val="left"/>
      <w:pPr>
        <w:ind w:left="0" w:firstLine="0"/>
      </w:pPr>
      <w:rPr>
        <w:rFonts w:hint="default" w:ascii="微软雅黑" w:hAnsi="微软雅黑" w:eastAsia="微软雅黑"/>
      </w:rPr>
    </w:lvl>
    <w:lvl w:ilvl="4" w:tentative="0">
      <w:start w:val="1"/>
      <w:numFmt w:val="decimal"/>
      <w:pStyle w:val="6"/>
      <w:lvlText w:val="%1.%2.%3.%4.%5."/>
      <w:lvlJc w:val="left"/>
      <w:pPr>
        <w:tabs>
          <w:tab w:val="left" w:pos="0"/>
        </w:tabs>
        <w:ind w:left="0" w:firstLine="0"/>
      </w:pPr>
      <w:rPr>
        <w:rFonts w:hint="default" w:ascii="微软雅黑" w:hAnsi="微软雅黑" w:eastAsia="微软雅黑"/>
      </w:rPr>
    </w:lvl>
    <w:lvl w:ilvl="5" w:tentative="0">
      <w:start w:val="1"/>
      <w:numFmt w:val="decimal"/>
      <w:pStyle w:val="8"/>
      <w:suff w:val="space"/>
      <w:lvlText w:val="%1.%2.%3.%4.%5.%6."/>
      <w:lvlJc w:val="left"/>
      <w:pPr>
        <w:ind w:left="0" w:firstLine="0"/>
      </w:pPr>
      <w:rPr>
        <w:rFonts w:hint="default"/>
      </w:rPr>
    </w:lvl>
    <w:lvl w:ilvl="6" w:tentative="0">
      <w:start w:val="1"/>
      <w:numFmt w:val="decimal"/>
      <w:pStyle w:val="9"/>
      <w:lvlText w:val="%1.%2.%3.%4.%5.%6.%7."/>
      <w:lvlJc w:val="left"/>
      <w:pPr>
        <w:tabs>
          <w:tab w:val="left" w:pos="0"/>
        </w:tabs>
        <w:ind w:left="0" w:firstLine="0"/>
      </w:pPr>
      <w:rPr>
        <w:rFonts w:hint="default"/>
      </w:rPr>
    </w:lvl>
    <w:lvl w:ilvl="7" w:tentative="0">
      <w:start w:val="1"/>
      <w:numFmt w:val="decimal"/>
      <w:pStyle w:val="10"/>
      <w:suff w:val="space"/>
      <w:lvlText w:val="%1.%2.%3.%4.%5.%6.%7.%8."/>
      <w:lvlJc w:val="left"/>
      <w:pPr>
        <w:ind w:left="0" w:firstLine="0"/>
      </w:pPr>
      <w:rPr>
        <w:rFonts w:hint="default"/>
      </w:rPr>
    </w:lvl>
    <w:lvl w:ilvl="8" w:tentative="0">
      <w:start w:val="1"/>
      <w:numFmt w:val="decimal"/>
      <w:pStyle w:val="11"/>
      <w:lvlText w:val="%1.%2.%3.%4.%5.%6.%7.%8.%9."/>
      <w:lvlJc w:val="left"/>
      <w:pPr>
        <w:tabs>
          <w:tab w:val="left" w:pos="0"/>
        </w:tabs>
        <w:ind w:left="0" w:firstLine="0"/>
      </w:pPr>
      <w:rPr>
        <w:rFonts w:hint="default"/>
      </w:rPr>
    </w:lvl>
  </w:abstractNum>
  <w:abstractNum w:abstractNumId="13">
    <w:nsid w:val="557302D5"/>
    <w:multiLevelType w:val="singleLevel"/>
    <w:tmpl w:val="557302D5"/>
    <w:lvl w:ilvl="0" w:tentative="0">
      <w:start w:val="1"/>
      <w:numFmt w:val="decimal"/>
      <w:lvlText w:val="%1)"/>
      <w:lvlJc w:val="left"/>
      <w:pPr>
        <w:ind w:left="425" w:hanging="425"/>
      </w:pPr>
      <w:rPr>
        <w:rFonts w:hint="default"/>
      </w:rPr>
    </w:lvl>
  </w:abstractNum>
  <w:abstractNum w:abstractNumId="14">
    <w:nsid w:val="5E93FD64"/>
    <w:multiLevelType w:val="singleLevel"/>
    <w:tmpl w:val="5E93FD64"/>
    <w:lvl w:ilvl="0" w:tentative="0">
      <w:start w:val="1"/>
      <w:numFmt w:val="decimal"/>
      <w:suff w:val="space"/>
      <w:lvlText w:val="%1."/>
      <w:lvlJc w:val="left"/>
    </w:lvl>
  </w:abstractNum>
  <w:abstractNum w:abstractNumId="15">
    <w:nsid w:val="7380B6E5"/>
    <w:multiLevelType w:val="singleLevel"/>
    <w:tmpl w:val="7380B6E5"/>
    <w:lvl w:ilvl="0" w:tentative="0">
      <w:start w:val="1"/>
      <w:numFmt w:val="decimal"/>
      <w:suff w:val="space"/>
      <w:lvlText w:val="%1."/>
      <w:lvlJc w:val="left"/>
    </w:lvl>
  </w:abstractNum>
  <w:num w:numId="1">
    <w:abstractNumId w:val="12"/>
  </w:num>
  <w:num w:numId="2">
    <w:abstractNumId w:val="0"/>
  </w:num>
  <w:num w:numId="3">
    <w:abstractNumId w:val="6"/>
  </w:num>
  <w:num w:numId="4">
    <w:abstractNumId w:val="7"/>
  </w:num>
  <w:num w:numId="5">
    <w:abstractNumId w:val="8"/>
  </w:num>
  <w:num w:numId="6">
    <w:abstractNumId w:val="1"/>
  </w:num>
  <w:num w:numId="7">
    <w:abstractNumId w:val="4"/>
  </w:num>
  <w:num w:numId="8">
    <w:abstractNumId w:val="10"/>
  </w:num>
  <w:num w:numId="9">
    <w:abstractNumId w:val="3"/>
  </w:num>
  <w:num w:numId="10">
    <w:abstractNumId w:val="11"/>
  </w:num>
  <w:num w:numId="11">
    <w:abstractNumId w:val="2"/>
  </w:num>
  <w:num w:numId="12">
    <w:abstractNumId w:val="5"/>
  </w:num>
  <w:num w:numId="13">
    <w:abstractNumId w:val="13"/>
  </w:num>
  <w:num w:numId="14">
    <w:abstractNumId w:val="15"/>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5F4"/>
    <w:rsid w:val="00014D3D"/>
    <w:rsid w:val="00024ACF"/>
    <w:rsid w:val="00046A06"/>
    <w:rsid w:val="00056319"/>
    <w:rsid w:val="00056BC2"/>
    <w:rsid w:val="00094858"/>
    <w:rsid w:val="000A7B8D"/>
    <w:rsid w:val="000C5223"/>
    <w:rsid w:val="000E5258"/>
    <w:rsid w:val="00115433"/>
    <w:rsid w:val="00135AD2"/>
    <w:rsid w:val="001403AE"/>
    <w:rsid w:val="001753C0"/>
    <w:rsid w:val="00176C94"/>
    <w:rsid w:val="00182425"/>
    <w:rsid w:val="001C7B30"/>
    <w:rsid w:val="001F30B0"/>
    <w:rsid w:val="00243D66"/>
    <w:rsid w:val="00271FFD"/>
    <w:rsid w:val="00295ABF"/>
    <w:rsid w:val="002A4817"/>
    <w:rsid w:val="002A65F4"/>
    <w:rsid w:val="002D0426"/>
    <w:rsid w:val="002F4888"/>
    <w:rsid w:val="00311BAA"/>
    <w:rsid w:val="00322321"/>
    <w:rsid w:val="003611A7"/>
    <w:rsid w:val="003A7D62"/>
    <w:rsid w:val="003B1FB2"/>
    <w:rsid w:val="00425D30"/>
    <w:rsid w:val="00437E65"/>
    <w:rsid w:val="004772BA"/>
    <w:rsid w:val="004B7021"/>
    <w:rsid w:val="004F10DB"/>
    <w:rsid w:val="005243E7"/>
    <w:rsid w:val="005537EA"/>
    <w:rsid w:val="00592CFF"/>
    <w:rsid w:val="005D2CAA"/>
    <w:rsid w:val="005F5C95"/>
    <w:rsid w:val="006227AE"/>
    <w:rsid w:val="00625DC9"/>
    <w:rsid w:val="00634F95"/>
    <w:rsid w:val="00663916"/>
    <w:rsid w:val="00663BE3"/>
    <w:rsid w:val="006809CA"/>
    <w:rsid w:val="006A6A2C"/>
    <w:rsid w:val="00722F35"/>
    <w:rsid w:val="007A6071"/>
    <w:rsid w:val="00820DC3"/>
    <w:rsid w:val="00892BF3"/>
    <w:rsid w:val="008C47BE"/>
    <w:rsid w:val="008F4329"/>
    <w:rsid w:val="00903DEF"/>
    <w:rsid w:val="009408D1"/>
    <w:rsid w:val="00944BAE"/>
    <w:rsid w:val="00987AB6"/>
    <w:rsid w:val="009A738F"/>
    <w:rsid w:val="009B295A"/>
    <w:rsid w:val="00A40BDE"/>
    <w:rsid w:val="00A62C6C"/>
    <w:rsid w:val="00A77592"/>
    <w:rsid w:val="00A90ED2"/>
    <w:rsid w:val="00AC74C6"/>
    <w:rsid w:val="00AD6CE3"/>
    <w:rsid w:val="00AE5D42"/>
    <w:rsid w:val="00B066D9"/>
    <w:rsid w:val="00B3622F"/>
    <w:rsid w:val="00B62A67"/>
    <w:rsid w:val="00B95D5A"/>
    <w:rsid w:val="00BB6496"/>
    <w:rsid w:val="00BE25DF"/>
    <w:rsid w:val="00BE693E"/>
    <w:rsid w:val="00BF0E72"/>
    <w:rsid w:val="00BF4F3F"/>
    <w:rsid w:val="00C40169"/>
    <w:rsid w:val="00CA64B8"/>
    <w:rsid w:val="00CD2CD6"/>
    <w:rsid w:val="00D05504"/>
    <w:rsid w:val="00D34E06"/>
    <w:rsid w:val="00D42320"/>
    <w:rsid w:val="00D56D7A"/>
    <w:rsid w:val="00D93C77"/>
    <w:rsid w:val="00DA506A"/>
    <w:rsid w:val="00DE231E"/>
    <w:rsid w:val="00E03B06"/>
    <w:rsid w:val="00E45D12"/>
    <w:rsid w:val="00E56562"/>
    <w:rsid w:val="00E82CDC"/>
    <w:rsid w:val="00EB6D10"/>
    <w:rsid w:val="00F81CDC"/>
    <w:rsid w:val="018B7CCB"/>
    <w:rsid w:val="01B033D2"/>
    <w:rsid w:val="01E5153B"/>
    <w:rsid w:val="020A12CE"/>
    <w:rsid w:val="023810D8"/>
    <w:rsid w:val="023F72EC"/>
    <w:rsid w:val="036C7201"/>
    <w:rsid w:val="037326D6"/>
    <w:rsid w:val="04326038"/>
    <w:rsid w:val="04AB0032"/>
    <w:rsid w:val="052D27DB"/>
    <w:rsid w:val="05426276"/>
    <w:rsid w:val="05AD065D"/>
    <w:rsid w:val="07C532D5"/>
    <w:rsid w:val="083C3438"/>
    <w:rsid w:val="08CB7A39"/>
    <w:rsid w:val="0BF24331"/>
    <w:rsid w:val="0CEF33B9"/>
    <w:rsid w:val="0EC248DC"/>
    <w:rsid w:val="109E0B4D"/>
    <w:rsid w:val="10E14100"/>
    <w:rsid w:val="10FA1505"/>
    <w:rsid w:val="11E61F75"/>
    <w:rsid w:val="12617CEC"/>
    <w:rsid w:val="12AB6E6B"/>
    <w:rsid w:val="12EB166A"/>
    <w:rsid w:val="15471B1F"/>
    <w:rsid w:val="155C76B0"/>
    <w:rsid w:val="15D375EE"/>
    <w:rsid w:val="16BB694C"/>
    <w:rsid w:val="17467E96"/>
    <w:rsid w:val="1749510D"/>
    <w:rsid w:val="17BF5E77"/>
    <w:rsid w:val="18507016"/>
    <w:rsid w:val="19CD7B29"/>
    <w:rsid w:val="1A2E4BEE"/>
    <w:rsid w:val="1A9609E5"/>
    <w:rsid w:val="1B0F55DC"/>
    <w:rsid w:val="1BBD01E0"/>
    <w:rsid w:val="1CE21A70"/>
    <w:rsid w:val="1D68481F"/>
    <w:rsid w:val="1D87456E"/>
    <w:rsid w:val="1DAE6E29"/>
    <w:rsid w:val="1F0F4333"/>
    <w:rsid w:val="1F615D28"/>
    <w:rsid w:val="209B1146"/>
    <w:rsid w:val="21CF6330"/>
    <w:rsid w:val="21E62252"/>
    <w:rsid w:val="22923D94"/>
    <w:rsid w:val="245405E6"/>
    <w:rsid w:val="24B05328"/>
    <w:rsid w:val="251E5D15"/>
    <w:rsid w:val="260225F3"/>
    <w:rsid w:val="263A2125"/>
    <w:rsid w:val="26546B0C"/>
    <w:rsid w:val="266A61D7"/>
    <w:rsid w:val="26CF59AB"/>
    <w:rsid w:val="26ED1ED0"/>
    <w:rsid w:val="27A57B36"/>
    <w:rsid w:val="28C266CA"/>
    <w:rsid w:val="29641C74"/>
    <w:rsid w:val="2AAF6404"/>
    <w:rsid w:val="2B4D50F0"/>
    <w:rsid w:val="2B8E20D1"/>
    <w:rsid w:val="2D5D1848"/>
    <w:rsid w:val="2DEB7BF1"/>
    <w:rsid w:val="2EA0585F"/>
    <w:rsid w:val="2EFB3B7B"/>
    <w:rsid w:val="2F662050"/>
    <w:rsid w:val="30566346"/>
    <w:rsid w:val="31674884"/>
    <w:rsid w:val="324B1648"/>
    <w:rsid w:val="345117AD"/>
    <w:rsid w:val="34DE13C8"/>
    <w:rsid w:val="35156F4A"/>
    <w:rsid w:val="355157DD"/>
    <w:rsid w:val="35645A70"/>
    <w:rsid w:val="360D4020"/>
    <w:rsid w:val="368B03DE"/>
    <w:rsid w:val="37065FE2"/>
    <w:rsid w:val="37B97F4C"/>
    <w:rsid w:val="37D44D31"/>
    <w:rsid w:val="384B0E06"/>
    <w:rsid w:val="385156A3"/>
    <w:rsid w:val="387E0FDF"/>
    <w:rsid w:val="399D6C8F"/>
    <w:rsid w:val="3B896BD6"/>
    <w:rsid w:val="3D286FB4"/>
    <w:rsid w:val="3DE84B55"/>
    <w:rsid w:val="3E372F0E"/>
    <w:rsid w:val="3FC01382"/>
    <w:rsid w:val="413A2650"/>
    <w:rsid w:val="42F03386"/>
    <w:rsid w:val="43075B5F"/>
    <w:rsid w:val="43644F90"/>
    <w:rsid w:val="43F13DEC"/>
    <w:rsid w:val="44B17C0C"/>
    <w:rsid w:val="456262FF"/>
    <w:rsid w:val="462F7833"/>
    <w:rsid w:val="467A0380"/>
    <w:rsid w:val="472607AC"/>
    <w:rsid w:val="47F53FF3"/>
    <w:rsid w:val="485000B9"/>
    <w:rsid w:val="48AA54FC"/>
    <w:rsid w:val="4A065EFC"/>
    <w:rsid w:val="4A13538E"/>
    <w:rsid w:val="4A263EE3"/>
    <w:rsid w:val="4AE03E0E"/>
    <w:rsid w:val="4B712702"/>
    <w:rsid w:val="4C3801E4"/>
    <w:rsid w:val="4C6E3434"/>
    <w:rsid w:val="4CA446BD"/>
    <w:rsid w:val="4CD70439"/>
    <w:rsid w:val="4DFA0CB0"/>
    <w:rsid w:val="4E286721"/>
    <w:rsid w:val="4E307B7D"/>
    <w:rsid w:val="4ECC7124"/>
    <w:rsid w:val="4F872476"/>
    <w:rsid w:val="4F945CDF"/>
    <w:rsid w:val="4FC70B57"/>
    <w:rsid w:val="4FFB2710"/>
    <w:rsid w:val="50751B32"/>
    <w:rsid w:val="507E7FB2"/>
    <w:rsid w:val="50C27296"/>
    <w:rsid w:val="50FB4B23"/>
    <w:rsid w:val="518F6F35"/>
    <w:rsid w:val="51B30546"/>
    <w:rsid w:val="52A42F98"/>
    <w:rsid w:val="52D552DE"/>
    <w:rsid w:val="52DB5888"/>
    <w:rsid w:val="545201B8"/>
    <w:rsid w:val="545E3978"/>
    <w:rsid w:val="55741347"/>
    <w:rsid w:val="559B067E"/>
    <w:rsid w:val="55A255E9"/>
    <w:rsid w:val="56801953"/>
    <w:rsid w:val="57DD07A4"/>
    <w:rsid w:val="581F60C8"/>
    <w:rsid w:val="58F474EC"/>
    <w:rsid w:val="594B193C"/>
    <w:rsid w:val="598B1E34"/>
    <w:rsid w:val="5A05172C"/>
    <w:rsid w:val="5AF82C36"/>
    <w:rsid w:val="5BC03731"/>
    <w:rsid w:val="5CBD7595"/>
    <w:rsid w:val="5CD64696"/>
    <w:rsid w:val="5DDC7A8A"/>
    <w:rsid w:val="5F162FA7"/>
    <w:rsid w:val="5F734ADC"/>
    <w:rsid w:val="5F945F1D"/>
    <w:rsid w:val="5FBD1D4D"/>
    <w:rsid w:val="5FFC44CB"/>
    <w:rsid w:val="61710951"/>
    <w:rsid w:val="63EF7C14"/>
    <w:rsid w:val="659B6B76"/>
    <w:rsid w:val="659E3379"/>
    <w:rsid w:val="65B317D8"/>
    <w:rsid w:val="66A11CC3"/>
    <w:rsid w:val="66BA3859"/>
    <w:rsid w:val="66D3339B"/>
    <w:rsid w:val="68170068"/>
    <w:rsid w:val="683115FB"/>
    <w:rsid w:val="683F5354"/>
    <w:rsid w:val="686114BD"/>
    <w:rsid w:val="68935049"/>
    <w:rsid w:val="690305C1"/>
    <w:rsid w:val="69056490"/>
    <w:rsid w:val="69927B0B"/>
    <w:rsid w:val="69B2502B"/>
    <w:rsid w:val="6A6704EF"/>
    <w:rsid w:val="6AF846BD"/>
    <w:rsid w:val="6C296590"/>
    <w:rsid w:val="6D454896"/>
    <w:rsid w:val="6D4D2F85"/>
    <w:rsid w:val="6DC72B7D"/>
    <w:rsid w:val="6ED36CDD"/>
    <w:rsid w:val="6F950A05"/>
    <w:rsid w:val="6F977D2D"/>
    <w:rsid w:val="6FD90CAD"/>
    <w:rsid w:val="6FF217C9"/>
    <w:rsid w:val="70526A5D"/>
    <w:rsid w:val="706A0509"/>
    <w:rsid w:val="707F61C9"/>
    <w:rsid w:val="70F52D97"/>
    <w:rsid w:val="70FB251A"/>
    <w:rsid w:val="712B4B58"/>
    <w:rsid w:val="73F3034B"/>
    <w:rsid w:val="741F1F0A"/>
    <w:rsid w:val="7495463D"/>
    <w:rsid w:val="758F5EBE"/>
    <w:rsid w:val="7650021E"/>
    <w:rsid w:val="77155105"/>
    <w:rsid w:val="79073915"/>
    <w:rsid w:val="7959009F"/>
    <w:rsid w:val="797D616D"/>
    <w:rsid w:val="79E1494E"/>
    <w:rsid w:val="7C564767"/>
    <w:rsid w:val="7D2A4BB7"/>
    <w:rsid w:val="7D384EA3"/>
    <w:rsid w:val="7DB91841"/>
    <w:rsid w:val="7DF71D7B"/>
    <w:rsid w:val="7F8C5C5D"/>
    <w:rsid w:val="7FE04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after="20" w:afterLines="20" w:line="288" w:lineRule="auto"/>
      <w:jc w:val="both"/>
    </w:pPr>
    <w:rPr>
      <w:rFonts w:eastAsia="微软雅黑" w:asciiTheme="minorHAnsi" w:hAnsiTheme="minorHAnsi" w:cstheme="minorBidi"/>
      <w:kern w:val="2"/>
      <w:sz w:val="21"/>
      <w:szCs w:val="24"/>
      <w:lang w:val="en-US" w:eastAsia="zh-CN" w:bidi="ar-SA"/>
    </w:rPr>
  </w:style>
  <w:style w:type="paragraph" w:styleId="2">
    <w:name w:val="heading 1"/>
    <w:basedOn w:val="1"/>
    <w:next w:val="1"/>
    <w:qFormat/>
    <w:uiPriority w:val="9"/>
    <w:pPr>
      <w:keepNext/>
      <w:keepLines/>
      <w:numPr>
        <w:ilvl w:val="0"/>
        <w:numId w:val="1"/>
      </w:numPr>
      <w:tabs>
        <w:tab w:val="left" w:pos="0"/>
      </w:tabs>
      <w:spacing w:before="50" w:beforeLines="50"/>
      <w:outlineLvl w:val="0"/>
    </w:pPr>
    <w:rPr>
      <w:rFonts w:ascii="微软雅黑" w:hAnsi="微软雅黑"/>
      <w:b/>
      <w:bCs/>
      <w:kern w:val="44"/>
      <w:sz w:val="36"/>
      <w:szCs w:val="36"/>
    </w:rPr>
  </w:style>
  <w:style w:type="paragraph" w:styleId="3">
    <w:name w:val="heading 2"/>
    <w:next w:val="1"/>
    <w:unhideWhenUsed/>
    <w:qFormat/>
    <w:uiPriority w:val="9"/>
    <w:pPr>
      <w:numPr>
        <w:ilvl w:val="1"/>
        <w:numId w:val="1"/>
      </w:numPr>
      <w:tabs>
        <w:tab w:val="left" w:pos="0"/>
      </w:tabs>
      <w:adjustRightInd w:val="0"/>
      <w:snapToGrid w:val="0"/>
      <w:spacing w:before="50" w:beforeLines="50" w:after="20" w:afterLines="20" w:line="288" w:lineRule="auto"/>
      <w:outlineLvl w:val="1"/>
    </w:pPr>
    <w:rPr>
      <w:rFonts w:ascii="微软雅黑" w:hAnsi="微软雅黑" w:eastAsia="微软雅黑" w:cstheme="minorBidi"/>
      <w:b/>
      <w:bCs/>
      <w:kern w:val="2"/>
      <w:sz w:val="32"/>
      <w:szCs w:val="32"/>
      <w:lang w:val="en-US" w:eastAsia="zh-CN" w:bidi="ar-SA"/>
    </w:rPr>
  </w:style>
  <w:style w:type="paragraph" w:styleId="4">
    <w:name w:val="heading 3"/>
    <w:next w:val="1"/>
    <w:link w:val="56"/>
    <w:unhideWhenUsed/>
    <w:qFormat/>
    <w:uiPriority w:val="9"/>
    <w:pPr>
      <w:numPr>
        <w:ilvl w:val="2"/>
        <w:numId w:val="1"/>
      </w:numPr>
      <w:tabs>
        <w:tab w:val="left" w:pos="0"/>
        <w:tab w:val="left" w:pos="312"/>
      </w:tabs>
      <w:adjustRightInd w:val="0"/>
      <w:snapToGrid w:val="0"/>
      <w:spacing w:before="50" w:beforeLines="50" w:after="20" w:afterLines="20" w:line="288" w:lineRule="auto"/>
      <w:outlineLvl w:val="2"/>
    </w:pPr>
    <w:rPr>
      <w:rFonts w:ascii="微软雅黑" w:hAnsi="微软雅黑" w:eastAsia="微软雅黑" w:cstheme="minorBidi"/>
      <w:b/>
      <w:kern w:val="2"/>
      <w:sz w:val="30"/>
      <w:szCs w:val="30"/>
      <w:lang w:val="en-US" w:eastAsia="zh-CN" w:bidi="ar-SA"/>
    </w:rPr>
  </w:style>
  <w:style w:type="paragraph" w:styleId="5">
    <w:name w:val="heading 4"/>
    <w:next w:val="1"/>
    <w:link w:val="55"/>
    <w:unhideWhenUsed/>
    <w:qFormat/>
    <w:uiPriority w:val="9"/>
    <w:pPr>
      <w:numPr>
        <w:ilvl w:val="3"/>
        <w:numId w:val="1"/>
      </w:numPr>
      <w:tabs>
        <w:tab w:val="left" w:pos="0"/>
      </w:tabs>
      <w:adjustRightInd w:val="0"/>
      <w:snapToGrid w:val="0"/>
      <w:spacing w:before="50" w:beforeLines="50" w:after="20" w:afterLines="20" w:line="288" w:lineRule="auto"/>
      <w:outlineLvl w:val="3"/>
    </w:pPr>
    <w:rPr>
      <w:rFonts w:ascii="微软雅黑" w:hAnsi="微软雅黑" w:eastAsia="微软雅黑" w:cstheme="minorBidi"/>
      <w:b/>
      <w:bCs/>
      <w:sz w:val="28"/>
      <w:szCs w:val="28"/>
      <w:lang w:val="en-US" w:eastAsia="zh-CN" w:bidi="ar-SA"/>
    </w:rPr>
  </w:style>
  <w:style w:type="paragraph" w:styleId="6">
    <w:name w:val="heading 5"/>
    <w:basedOn w:val="1"/>
    <w:next w:val="7"/>
    <w:unhideWhenUsed/>
    <w:qFormat/>
    <w:uiPriority w:val="9"/>
    <w:pPr>
      <w:numPr>
        <w:ilvl w:val="4"/>
        <w:numId w:val="1"/>
      </w:numPr>
      <w:tabs>
        <w:tab w:val="left" w:pos="312"/>
      </w:tabs>
      <w:spacing w:before="50" w:beforeLines="50"/>
      <w:jc w:val="left"/>
      <w:outlineLvl w:val="4"/>
    </w:pPr>
    <w:rPr>
      <w:rFonts w:ascii="Arial" w:hAnsi="Arial"/>
      <w:b/>
      <w:sz w:val="24"/>
      <w:szCs w:val="22"/>
    </w:rPr>
  </w:style>
  <w:style w:type="paragraph" w:styleId="8">
    <w:name w:val="heading 6"/>
    <w:basedOn w:val="1"/>
    <w:next w:val="7"/>
    <w:unhideWhenUsed/>
    <w:qFormat/>
    <w:uiPriority w:val="0"/>
    <w:pPr>
      <w:numPr>
        <w:ilvl w:val="5"/>
        <w:numId w:val="1"/>
      </w:numPr>
      <w:tabs>
        <w:tab w:val="left" w:pos="0"/>
      </w:tabs>
      <w:spacing w:before="50" w:beforeLines="50"/>
      <w:outlineLvl w:val="5"/>
    </w:pPr>
    <w:rPr>
      <w:rFonts w:ascii="微软雅黑" w:hAnsi="微软雅黑"/>
      <w:b/>
      <w:bCs/>
      <w:sz w:val="24"/>
    </w:rPr>
  </w:style>
  <w:style w:type="paragraph" w:styleId="9">
    <w:name w:val="heading 7"/>
    <w:basedOn w:val="1"/>
    <w:next w:val="7"/>
    <w:link w:val="50"/>
    <w:unhideWhenUsed/>
    <w:qFormat/>
    <w:uiPriority w:val="0"/>
    <w:pPr>
      <w:numPr>
        <w:ilvl w:val="6"/>
        <w:numId w:val="1"/>
      </w:numPr>
      <w:spacing w:before="50" w:beforeLines="50"/>
      <w:jc w:val="left"/>
      <w:outlineLvl w:val="6"/>
    </w:pPr>
    <w:rPr>
      <w:rFonts w:ascii="微软雅黑" w:hAnsi="微软雅黑"/>
      <w:b/>
      <w:bCs/>
      <w:sz w:val="24"/>
    </w:rPr>
  </w:style>
  <w:style w:type="paragraph" w:styleId="10">
    <w:name w:val="heading 8"/>
    <w:basedOn w:val="1"/>
    <w:next w:val="7"/>
    <w:unhideWhenUsed/>
    <w:qFormat/>
    <w:uiPriority w:val="0"/>
    <w:pPr>
      <w:numPr>
        <w:ilvl w:val="7"/>
        <w:numId w:val="1"/>
      </w:numPr>
      <w:tabs>
        <w:tab w:val="left" w:pos="0"/>
      </w:tabs>
      <w:spacing w:before="50" w:beforeLines="50"/>
      <w:outlineLvl w:val="7"/>
    </w:pPr>
    <w:rPr>
      <w:rFonts w:ascii="微软雅黑" w:hAnsi="微软雅黑" w:cstheme="majorBidi"/>
      <w:b/>
      <w:bCs/>
      <w:sz w:val="24"/>
    </w:rPr>
  </w:style>
  <w:style w:type="paragraph" w:styleId="11">
    <w:name w:val="heading 9"/>
    <w:basedOn w:val="1"/>
    <w:next w:val="7"/>
    <w:unhideWhenUsed/>
    <w:qFormat/>
    <w:uiPriority w:val="0"/>
    <w:pPr>
      <w:numPr>
        <w:ilvl w:val="8"/>
        <w:numId w:val="1"/>
      </w:numPr>
      <w:spacing w:before="50" w:beforeLines="50"/>
      <w:outlineLvl w:val="8"/>
    </w:pPr>
    <w:rPr>
      <w:rFonts w:ascii="微软雅黑" w:hAnsi="微软雅黑" w:cstheme="majorBidi"/>
      <w:b/>
      <w:bCs/>
      <w:sz w:val="24"/>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Body Text"/>
    <w:basedOn w:val="1"/>
    <w:link w:val="60"/>
    <w:qFormat/>
    <w:uiPriority w:val="0"/>
    <w:rPr>
      <w:rFonts w:ascii="微软雅黑" w:hAnsi="微软雅黑"/>
      <w:szCs w:val="21"/>
    </w:rPr>
  </w:style>
  <w:style w:type="paragraph" w:styleId="12">
    <w:name w:val="caption"/>
    <w:basedOn w:val="1"/>
    <w:next w:val="1"/>
    <w:unhideWhenUsed/>
    <w:qFormat/>
    <w:uiPriority w:val="0"/>
    <w:rPr>
      <w:rFonts w:ascii="微软雅黑" w:hAnsi="微软雅黑" w:cs="Times New Roman"/>
      <w:sz w:val="20"/>
      <w:szCs w:val="20"/>
    </w:rPr>
  </w:style>
  <w:style w:type="paragraph" w:styleId="13">
    <w:name w:val="annotation text"/>
    <w:basedOn w:val="1"/>
    <w:link w:val="48"/>
    <w:qFormat/>
    <w:uiPriority w:val="0"/>
    <w:pPr>
      <w:jc w:val="lef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14">
    <w:name w:val="Salutation"/>
    <w:basedOn w:val="1"/>
    <w:next w:val="1"/>
    <w:qFormat/>
    <w:uiPriority w:val="0"/>
    <w:rPr>
      <w:rFonts w:ascii="微软雅黑" w:hAnsi="微软雅黑"/>
      <w:szCs w:val="21"/>
    </w:rPr>
  </w:style>
  <w:style w:type="paragraph" w:styleId="15">
    <w:name w:val="Body Text Indent"/>
    <w:basedOn w:val="1"/>
    <w:next w:val="16"/>
    <w:qFormat/>
    <w:uiPriority w:val="0"/>
    <w:pPr>
      <w:spacing w:after="120" w:afterLines="0"/>
      <w:ind w:left="420" w:leftChars="200"/>
    </w:pPr>
  </w:style>
  <w:style w:type="paragraph" w:styleId="16">
    <w:name w:val="envelope return"/>
    <w:basedOn w:val="1"/>
    <w:qFormat/>
    <w:uiPriority w:val="0"/>
    <w:rPr>
      <w:rFonts w:ascii="Arial" w:hAnsi="Arial"/>
    </w:rPr>
  </w:style>
  <w:style w:type="paragraph" w:styleId="17">
    <w:name w:val="Plain Text"/>
    <w:basedOn w:val="1"/>
    <w:link w:val="54"/>
    <w:qFormat/>
    <w:uiPriority w:val="0"/>
    <w:rPr>
      <w:rFonts w:ascii="宋体" w:hAnsi="Courier New"/>
    </w:rPr>
  </w:style>
  <w:style w:type="paragraph" w:styleId="18">
    <w:name w:val="Date"/>
    <w:basedOn w:val="1"/>
    <w:next w:val="1"/>
    <w:qFormat/>
    <w:uiPriority w:val="0"/>
    <w:pPr>
      <w:jc w:val="righ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19">
    <w:name w:val="endnote text"/>
    <w:basedOn w:val="1"/>
    <w:qFormat/>
    <w:uiPriority w:val="0"/>
    <w:pPr>
      <w:jc w:val="lef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20">
    <w:name w:val="Balloon Text"/>
    <w:basedOn w:val="1"/>
    <w:link w:val="52"/>
    <w:qFormat/>
    <w:uiPriority w:val="0"/>
    <w:rPr>
      <w:rFonts w:ascii="微软雅黑" w:hAnsi="微软雅黑"/>
      <w:sz w:val="18"/>
      <w:szCs w:val="18"/>
    </w:rPr>
  </w:style>
  <w:style w:type="paragraph" w:styleId="21">
    <w:name w:val="footer"/>
    <w:basedOn w:val="1"/>
    <w:link w:val="46"/>
    <w:qFormat/>
    <w:uiPriority w:val="0"/>
    <w:pPr>
      <w:tabs>
        <w:tab w:val="center" w:pos="4153"/>
        <w:tab w:val="right" w:pos="8306"/>
      </w:tabs>
      <w:jc w:val="left"/>
    </w:pPr>
    <w:rPr>
      <w:rFonts w:ascii="微软雅黑" w:hAnsi="微软雅黑"/>
      <w:sz w:val="18"/>
      <w:szCs w:val="18"/>
    </w:rPr>
  </w:style>
  <w:style w:type="paragraph" w:styleId="22">
    <w:name w:val="header"/>
    <w:basedOn w:val="1"/>
    <w:link w:val="45"/>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rFonts w:ascii="微软雅黑" w:hAnsi="微软雅黑"/>
      <w:sz w:val="18"/>
      <w:szCs w:val="18"/>
    </w:rPr>
  </w:style>
  <w:style w:type="paragraph" w:styleId="23">
    <w:name w:val="Signature"/>
    <w:basedOn w:val="1"/>
    <w:qFormat/>
    <w:uiPriority w:val="0"/>
    <w:pPr>
      <w:jc w:val="right"/>
    </w:pPr>
    <w:rPr>
      <w:rFonts w:ascii="微软雅黑" w:hAnsi="微软雅黑"/>
      <w:color w:val="262626" w:themeColor="text1" w:themeTint="D9"/>
      <w:szCs w:val="21"/>
      <w14:textFill>
        <w14:solidFill>
          <w14:schemeClr w14:val="tx1">
            <w14:lumMod w14:val="85000"/>
            <w14:lumOff w14:val="15000"/>
          </w14:schemeClr>
        </w14:solidFill>
      </w14:textFill>
    </w:rPr>
  </w:style>
  <w:style w:type="paragraph" w:styleId="24">
    <w:name w:val="Subtitle"/>
    <w:basedOn w:val="1"/>
    <w:next w:val="7"/>
    <w:qFormat/>
    <w:uiPriority w:val="0"/>
    <w:pPr>
      <w:spacing w:after="100" w:afterLines="100" w:line="240" w:lineRule="auto"/>
      <w:jc w:val="center"/>
    </w:pPr>
    <w:rPr>
      <w:rFonts w:ascii="微软雅黑" w:hAnsi="微软雅黑"/>
      <w:b/>
      <w:bCs/>
      <w:kern w:val="28"/>
      <w:sz w:val="36"/>
      <w:szCs w:val="36"/>
    </w:rPr>
  </w:style>
  <w:style w:type="paragraph" w:styleId="25">
    <w:name w:val="footnote text"/>
    <w:basedOn w:val="1"/>
    <w:qFormat/>
    <w:uiPriority w:val="0"/>
    <w:pPr>
      <w:jc w:val="left"/>
    </w:pPr>
    <w:rPr>
      <w:rFonts w:ascii="微软雅黑" w:hAnsi="微软雅黑"/>
      <w:sz w:val="24"/>
    </w:rPr>
  </w:style>
  <w:style w:type="paragraph" w:styleId="26">
    <w:name w:val="Normal (Web)"/>
    <w:basedOn w:val="1"/>
    <w:qFormat/>
    <w:uiPriority w:val="0"/>
    <w:rPr>
      <w:rFonts w:ascii="微软雅黑" w:hAnsi="微软雅黑"/>
      <w:sz w:val="24"/>
    </w:rPr>
  </w:style>
  <w:style w:type="paragraph" w:styleId="27">
    <w:name w:val="Title"/>
    <w:basedOn w:val="1"/>
    <w:qFormat/>
    <w:uiPriority w:val="10"/>
    <w:pPr>
      <w:spacing w:after="100" w:afterLines="100"/>
      <w:jc w:val="center"/>
    </w:pPr>
    <w:rPr>
      <w:rFonts w:ascii="微软雅黑" w:hAnsi="微软雅黑"/>
      <w:b/>
      <w:bCs/>
      <w:sz w:val="48"/>
      <w:szCs w:val="48"/>
    </w:rPr>
  </w:style>
  <w:style w:type="paragraph" w:styleId="28">
    <w:name w:val="annotation subject"/>
    <w:basedOn w:val="13"/>
    <w:next w:val="13"/>
    <w:link w:val="49"/>
    <w:qFormat/>
    <w:uiPriority w:val="0"/>
    <w:rPr>
      <w:b/>
      <w:bCs/>
      <w:color w:val="262626" w:themeColor="text1" w:themeTint="D9"/>
      <w14:textFill>
        <w14:solidFill>
          <w14:schemeClr w14:val="tx1">
            <w14:lumMod w14:val="85000"/>
            <w14:lumOff w14:val="15000"/>
          </w14:schemeClr>
        </w14:solidFill>
      </w14:textFill>
    </w:rPr>
  </w:style>
  <w:style w:type="paragraph" w:styleId="29">
    <w:name w:val="Body Text First Indent 2"/>
    <w:basedOn w:val="15"/>
    <w:next w:val="30"/>
    <w:qFormat/>
    <w:uiPriority w:val="0"/>
    <w:pPr>
      <w:ind w:firstLine="420" w:firstLineChars="200"/>
    </w:pPr>
  </w:style>
  <w:style w:type="paragraph" w:customStyle="1" w:styleId="30">
    <w:name w:val="样式 正文首行缩进 2 + Arial"/>
    <w:basedOn w:val="1"/>
    <w:next w:val="1"/>
    <w:qFormat/>
    <w:uiPriority w:val="0"/>
    <w:pPr>
      <w:spacing w:before="100" w:beforeAutospacing="1" w:after="120" w:line="320" w:lineRule="atLeast"/>
      <w:ind w:firstLine="200" w:firstLineChars="200"/>
    </w:pPr>
    <w:rPr>
      <w:rFonts w:ascii="Arial" w:hAnsi="Arial" w:cs="Arial"/>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22"/>
    <w:rPr>
      <w:rFonts w:ascii="微软雅黑" w:hAnsi="微软雅黑" w:eastAsia="微软雅黑"/>
      <w:b/>
      <w:color w:val="auto"/>
      <w:u w:val="single"/>
    </w:rPr>
  </w:style>
  <w:style w:type="character" w:styleId="35">
    <w:name w:val="endnote reference"/>
    <w:basedOn w:val="33"/>
    <w:qFormat/>
    <w:uiPriority w:val="0"/>
    <w:rPr>
      <w:rFonts w:ascii="微软雅黑" w:hAnsi="微软雅黑" w:eastAsia="微软雅黑"/>
      <w:color w:val="262626" w:themeColor="text1" w:themeTint="D9"/>
      <w:vertAlign w:val="superscript"/>
      <w14:textFill>
        <w14:solidFill>
          <w14:schemeClr w14:val="tx1">
            <w14:lumMod w14:val="85000"/>
            <w14:lumOff w14:val="15000"/>
          </w14:schemeClr>
        </w14:solidFill>
      </w14:textFill>
    </w:rPr>
  </w:style>
  <w:style w:type="character" w:styleId="36">
    <w:name w:val="page number"/>
    <w:qFormat/>
    <w:uiPriority w:val="0"/>
    <w:rPr>
      <w:rFonts w:ascii="微软雅黑" w:hAnsi="微软雅黑" w:eastAsia="微软雅黑" w:cs="Times New Roman"/>
      <w:color w:val="262626" w:themeColor="text1" w:themeTint="D9"/>
      <w:spacing w:val="-6"/>
      <w:kern w:val="2"/>
      <w:sz w:val="21"/>
      <w:szCs w:val="21"/>
      <w:lang w:val="en-US" w:eastAsia="zh-CN" w:bidi="ar-SA"/>
      <w14:textFill>
        <w14:solidFill>
          <w14:schemeClr w14:val="tx1">
            <w14:lumMod w14:val="85000"/>
            <w14:lumOff w14:val="15000"/>
          </w14:schemeClr>
        </w14:solidFill>
      </w14:textFill>
    </w:rPr>
  </w:style>
  <w:style w:type="character" w:styleId="37">
    <w:name w:val="FollowedHyperlink"/>
    <w:basedOn w:val="33"/>
    <w:qFormat/>
    <w:uiPriority w:val="0"/>
    <w:rPr>
      <w:rFonts w:ascii="微软雅黑" w:hAnsi="微软雅黑" w:eastAsia="微软雅黑" w:cs="Times New Roman"/>
      <w:color w:val="800080"/>
      <w:spacing w:val="-6"/>
      <w:kern w:val="2"/>
      <w:sz w:val="24"/>
      <w:szCs w:val="24"/>
      <w:u w:val="single"/>
      <w:lang w:val="en-US" w:eastAsia="zh-CN" w:bidi="ar-SA"/>
    </w:rPr>
  </w:style>
  <w:style w:type="character" w:styleId="38">
    <w:name w:val="Emphasis"/>
    <w:basedOn w:val="33"/>
    <w:qFormat/>
    <w:uiPriority w:val="20"/>
    <w:rPr>
      <w:rFonts w:ascii="Arial" w:hAnsi="Arial" w:eastAsia="微软雅黑"/>
      <w:b/>
      <w:bCs/>
      <w:i/>
      <w:color w:val="auto"/>
      <w:sz w:val="24"/>
      <w:szCs w:val="22"/>
    </w:rPr>
  </w:style>
  <w:style w:type="character" w:styleId="39">
    <w:name w:val="Hyperlink"/>
    <w:basedOn w:val="33"/>
    <w:qFormat/>
    <w:uiPriority w:val="0"/>
    <w:rPr>
      <w:rFonts w:ascii="微软雅黑" w:hAnsi="微软雅黑" w:eastAsia="微软雅黑" w:cs="Times New Roman"/>
      <w:caps/>
      <w:color w:val="0000FF"/>
      <w:spacing w:val="-6"/>
      <w:kern w:val="2"/>
      <w:sz w:val="24"/>
      <w:szCs w:val="24"/>
      <w:u w:val="single"/>
      <w:lang w:val="en-US" w:eastAsia="zh-CN" w:bidi="ar-SA"/>
    </w:rPr>
  </w:style>
  <w:style w:type="character" w:styleId="40">
    <w:name w:val="annotation reference"/>
    <w:basedOn w:val="33"/>
    <w:qFormat/>
    <w:uiPriority w:val="0"/>
    <w:rPr>
      <w:rFonts w:ascii="微软雅黑" w:hAnsi="微软雅黑" w:eastAsia="微软雅黑"/>
      <w:color w:val="262626" w:themeColor="text1" w:themeTint="D9"/>
      <w:sz w:val="21"/>
      <w:szCs w:val="21"/>
      <w14:textFill>
        <w14:solidFill>
          <w14:schemeClr w14:val="tx1">
            <w14:lumMod w14:val="85000"/>
            <w14:lumOff w14:val="15000"/>
          </w14:schemeClr>
        </w14:solidFill>
      </w14:textFill>
    </w:rPr>
  </w:style>
  <w:style w:type="character" w:styleId="41">
    <w:name w:val="footnote reference"/>
    <w:basedOn w:val="33"/>
    <w:qFormat/>
    <w:uiPriority w:val="0"/>
    <w:rPr>
      <w:rFonts w:ascii="微软雅黑" w:hAnsi="微软雅黑" w:eastAsia="微软雅黑"/>
      <w:color w:val="262626" w:themeColor="text1" w:themeTint="D9"/>
      <w:vertAlign w:val="superscript"/>
      <w14:textFill>
        <w14:solidFill>
          <w14:schemeClr w14:val="tx1">
            <w14:lumMod w14:val="85000"/>
            <w14:lumOff w14:val="15000"/>
          </w14:schemeClr>
        </w14:solidFill>
      </w14:textFill>
    </w:rPr>
  </w:style>
  <w:style w:type="table" w:customStyle="1" w:styleId="42">
    <w:name w:val="Table Normal"/>
    <w:qFormat/>
    <w:uiPriority w:val="2"/>
    <w:tblPr>
      <w:tblCellMar>
        <w:top w:w="0" w:type="dxa"/>
        <w:left w:w="0" w:type="dxa"/>
        <w:bottom w:w="0" w:type="dxa"/>
        <w:right w:w="0" w:type="dxa"/>
      </w:tblCellMar>
    </w:tblPr>
  </w:style>
  <w:style w:type="paragraph" w:styleId="43">
    <w:name w:val="List Paragraph"/>
    <w:basedOn w:val="1"/>
    <w:qFormat/>
    <w:uiPriority w:val="34"/>
    <w:pPr>
      <w:ind w:left="140"/>
    </w:pPr>
  </w:style>
  <w:style w:type="paragraph" w:customStyle="1" w:styleId="44">
    <w:name w:val="Table Paragraph"/>
    <w:basedOn w:val="1"/>
    <w:qFormat/>
    <w:uiPriority w:val="1"/>
    <w:pPr>
      <w:spacing w:before="115"/>
    </w:pPr>
  </w:style>
  <w:style w:type="character" w:customStyle="1" w:styleId="45">
    <w:name w:val="页眉 字符"/>
    <w:link w:val="22"/>
    <w:qFormat/>
    <w:uiPriority w:val="99"/>
    <w:rPr>
      <w:rFonts w:ascii="微软雅黑" w:hAnsi="微软雅黑"/>
      <w:sz w:val="18"/>
      <w:szCs w:val="18"/>
    </w:rPr>
  </w:style>
  <w:style w:type="character" w:customStyle="1" w:styleId="46">
    <w:name w:val="页脚 字符"/>
    <w:link w:val="21"/>
    <w:qFormat/>
    <w:uiPriority w:val="99"/>
    <w:rPr>
      <w:rFonts w:ascii="微软雅黑" w:hAnsi="微软雅黑"/>
      <w:sz w:val="18"/>
      <w:szCs w:val="18"/>
    </w:rPr>
  </w:style>
  <w:style w:type="paragraph" w:customStyle="1" w:styleId="47">
    <w:name w:val="修订1"/>
    <w:qFormat/>
    <w:uiPriority w:val="99"/>
    <w:rPr>
      <w:rFonts w:ascii="宋体" w:hAnsi="宋体" w:eastAsia="宋体" w:cs="宋体"/>
      <w:sz w:val="22"/>
      <w:szCs w:val="22"/>
      <w:lang w:val="en-US" w:eastAsia="zh-CN" w:bidi="ar-SA"/>
    </w:rPr>
  </w:style>
  <w:style w:type="character" w:customStyle="1" w:styleId="48">
    <w:name w:val="批注文字 字符"/>
    <w:link w:val="13"/>
    <w:qFormat/>
    <w:uiPriority w:val="99"/>
    <w:rPr>
      <w:rFonts w:ascii="微软雅黑" w:hAnsi="微软雅黑"/>
      <w:color w:val="262626" w:themeColor="text1" w:themeTint="D9"/>
      <w:szCs w:val="21"/>
      <w14:textFill>
        <w14:solidFill>
          <w14:schemeClr w14:val="tx1">
            <w14:lumMod w14:val="85000"/>
            <w14:lumOff w14:val="15000"/>
          </w14:schemeClr>
        </w14:solidFill>
      </w14:textFill>
    </w:rPr>
  </w:style>
  <w:style w:type="character" w:customStyle="1" w:styleId="49">
    <w:name w:val="批注主题 字符"/>
    <w:link w:val="28"/>
    <w:qFormat/>
    <w:uiPriority w:val="99"/>
    <w:rPr>
      <w:b/>
      <w:bCs/>
    </w:rPr>
  </w:style>
  <w:style w:type="character" w:customStyle="1" w:styleId="50">
    <w:name w:val="标题 7 字符"/>
    <w:link w:val="9"/>
    <w:qFormat/>
    <w:uiPriority w:val="9"/>
    <w:rPr>
      <w:rFonts w:ascii="微软雅黑" w:hAnsi="微软雅黑"/>
      <w:b/>
      <w:bCs/>
      <w:sz w:val="24"/>
    </w:rPr>
  </w:style>
  <w:style w:type="paragraph" w:customStyle="1" w:styleId="51">
    <w:name w:val="修订2"/>
    <w:qFormat/>
    <w:uiPriority w:val="99"/>
    <w:rPr>
      <w:rFonts w:ascii="宋体" w:hAnsi="宋体" w:eastAsia="宋体" w:cs="宋体"/>
      <w:sz w:val="22"/>
      <w:szCs w:val="22"/>
      <w:lang w:val="en-US" w:eastAsia="zh-CN" w:bidi="ar-SA"/>
    </w:rPr>
  </w:style>
  <w:style w:type="character" w:customStyle="1" w:styleId="52">
    <w:name w:val="批注框文本 字符"/>
    <w:link w:val="20"/>
    <w:qFormat/>
    <w:uiPriority w:val="99"/>
    <w:rPr>
      <w:rFonts w:ascii="微软雅黑" w:hAnsi="微软雅黑"/>
      <w:sz w:val="18"/>
      <w:szCs w:val="18"/>
    </w:rPr>
  </w:style>
  <w:style w:type="character" w:customStyle="1" w:styleId="53">
    <w:name w:val="纯文本 字符"/>
    <w:basedOn w:val="33"/>
    <w:qFormat/>
    <w:uiPriority w:val="99"/>
    <w:rPr>
      <w:rFonts w:ascii="宋体" w:hAnsi="Courier New" w:cs="Courier New"/>
      <w:sz w:val="22"/>
      <w:szCs w:val="22"/>
    </w:rPr>
  </w:style>
  <w:style w:type="character" w:customStyle="1" w:styleId="54">
    <w:name w:val="纯文本 字符1"/>
    <w:link w:val="17"/>
    <w:qFormat/>
    <w:uiPriority w:val="0"/>
    <w:rPr>
      <w:rFonts w:ascii="宋体" w:hAnsi="Courier New"/>
    </w:rPr>
  </w:style>
  <w:style w:type="character" w:customStyle="1" w:styleId="55">
    <w:name w:val="标题 4 字符"/>
    <w:link w:val="5"/>
    <w:qFormat/>
    <w:uiPriority w:val="9"/>
    <w:rPr>
      <w:rFonts w:ascii="微软雅黑" w:hAnsi="微软雅黑" w:eastAsia="微软雅黑" w:cstheme="minorBidi"/>
      <w:b/>
      <w:bCs/>
      <w:sz w:val="28"/>
      <w:szCs w:val="28"/>
    </w:rPr>
  </w:style>
  <w:style w:type="character" w:customStyle="1" w:styleId="56">
    <w:name w:val="标题 3 字符"/>
    <w:link w:val="4"/>
    <w:qFormat/>
    <w:uiPriority w:val="9"/>
    <w:rPr>
      <w:rFonts w:ascii="微软雅黑" w:hAnsi="微软雅黑" w:eastAsia="微软雅黑" w:cstheme="minorBidi"/>
      <w:b/>
      <w:kern w:val="2"/>
      <w:sz w:val="30"/>
      <w:szCs w:val="30"/>
    </w:rPr>
  </w:style>
  <w:style w:type="paragraph" w:customStyle="1" w:styleId="57">
    <w:name w:val="Revision_abb06780-b763-4eb7-b6df-93e237325da7"/>
    <w:qFormat/>
    <w:uiPriority w:val="99"/>
    <w:rPr>
      <w:rFonts w:ascii="宋体" w:hAnsi="宋体" w:eastAsia="宋体" w:cs="宋体"/>
      <w:sz w:val="22"/>
      <w:szCs w:val="22"/>
      <w:lang w:val="en-US" w:eastAsia="zh-CN" w:bidi="ar-SA"/>
    </w:rPr>
  </w:style>
  <w:style w:type="paragraph" w:customStyle="1" w:styleId="58">
    <w:name w:val="修订3"/>
    <w:hidden/>
    <w:semiHidden/>
    <w:qFormat/>
    <w:uiPriority w:val="99"/>
    <w:rPr>
      <w:rFonts w:ascii="宋体" w:hAnsi="宋体" w:eastAsia="宋体" w:cs="宋体"/>
      <w:sz w:val="22"/>
      <w:szCs w:val="22"/>
      <w:lang w:val="en-US" w:eastAsia="zh-CN" w:bidi="ar-SA"/>
    </w:rPr>
  </w:style>
  <w:style w:type="paragraph" w:customStyle="1" w:styleId="59">
    <w:name w:val="修订4"/>
    <w:hidden/>
    <w:unhideWhenUsed/>
    <w:qFormat/>
    <w:uiPriority w:val="99"/>
    <w:rPr>
      <w:rFonts w:ascii="宋体" w:hAnsi="宋体" w:eastAsia="宋体" w:cs="宋体"/>
      <w:sz w:val="22"/>
      <w:szCs w:val="22"/>
      <w:lang w:val="en-US" w:eastAsia="zh-CN" w:bidi="ar-SA"/>
    </w:rPr>
  </w:style>
  <w:style w:type="character" w:customStyle="1" w:styleId="60">
    <w:name w:val="正文文本 字符"/>
    <w:link w:val="7"/>
    <w:qFormat/>
    <w:uiPriority w:val="1"/>
    <w:rPr>
      <w:rFonts w:ascii="微软雅黑" w:hAnsi="微软雅黑"/>
      <w:szCs w:val="21"/>
    </w:rPr>
  </w:style>
  <w:style w:type="paragraph" w:customStyle="1" w:styleId="61">
    <w:name w:val="修订5"/>
    <w:hidden/>
    <w:unhideWhenUsed/>
    <w:qFormat/>
    <w:uiPriority w:val="99"/>
    <w:rPr>
      <w:rFonts w:ascii="宋体" w:hAnsi="宋体" w:eastAsia="宋体" w:cs="宋体"/>
      <w:sz w:val="22"/>
      <w:szCs w:val="22"/>
      <w:lang w:val="en-US" w:eastAsia="zh-CN" w:bidi="ar-SA"/>
    </w:rPr>
  </w:style>
  <w:style w:type="paragraph" w:customStyle="1" w:styleId="62">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63">
    <w:name w:val="样式1"/>
    <w:basedOn w:val="2"/>
    <w:qFormat/>
    <w:uiPriority w:val="0"/>
    <w:pPr>
      <w:keepNext w:val="0"/>
      <w:keepLines w:val="0"/>
      <w:spacing w:before="0" w:after="0" w:line="360" w:lineRule="auto"/>
      <w:jc w:val="left"/>
    </w:pPr>
    <w:rPr>
      <w:rFonts w:ascii="宋体" w:hAnsi="宋体"/>
      <w:bCs w:val="0"/>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3E612-0D45-4788-9661-1094C81754FA}">
  <ds:schemaRefs/>
</ds:datastoreItem>
</file>

<file path=docProps/app.xml><?xml version="1.0" encoding="utf-8"?>
<Properties xmlns="http://schemas.openxmlformats.org/officeDocument/2006/extended-properties" xmlns:vt="http://schemas.openxmlformats.org/officeDocument/2006/docPropsVTypes">
  <Template>Normal.dotm</Template>
  <Company>中山大学</Company>
  <Pages>52</Pages>
  <Words>17034</Words>
  <Characters>18308</Characters>
  <Lines>266</Lines>
  <Paragraphs>75</Paragraphs>
  <TotalTime>58</TotalTime>
  <ScaleCrop>false</ScaleCrop>
  <LinksUpToDate>false</LinksUpToDate>
  <CharactersWithSpaces>18974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2026-01-19T03:59:00Z</dcterms:created>
  <dc:creator>95391</dc:creator>
  <cp:lastModifiedBy>华伦-杨立敏</cp:lastModifiedBy>
  <dcterms:modified xsi:type="dcterms:W3CDTF">2026-03-16T10:21:30Z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2023-06-14T00:00:00Z</vt:filetime>
  </property>
  <property fmtid="{D5CDD505-2E9C-101B-9397-08002B2CF9AE}" pid="3" name="Creator">
    <vt:lpwstr>Acrobat PDFMaker 19 Word 版</vt:lpwstr>
  </property>
  <property fmtid="{D5CDD505-2E9C-101B-9397-08002B2CF9AE}" pid="4" name="LastSaved">
    <vt:filetime>2023-10-24T00:00:00Z</vt:filetime>
  </property>
  <property fmtid="{D5CDD505-2E9C-101B-9397-08002B2CF9AE}" pid="5" name="KSOProductBuildVer">
    <vt:lpwstr>2052-12.1.0.25225</vt:lpwstr>
  </property>
  <property fmtid="{D5CDD505-2E9C-101B-9397-08002B2CF9AE}" pid="6" name="ICV">
    <vt:lpwstr>DEBA75D5457C4059BADBEA1AF5F84F27_13</vt:lpwstr>
  </property>
  <property fmtid="{D5CDD505-2E9C-101B-9397-08002B2CF9AE}" pid="7" name="KSOTemplateDocerSaveRecord">
    <vt:lpwstr>eyJoZGlkIjoiZjJlMTY5YjQ2NGMwMzBlMmQ2ODg2OGE5MDFhMDc3ZmUiLCJ1c2VySWQiOiIzMTQ1MzkzMzUifQ==</vt:lpwstr>
  </property>
</Properties>
</file>